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Annual Cloud Infrastructure and Platform Engineering Report - FY2026</w:t>
      </w:r>
    </w:p>
    <w:p>
      <w:pPr>
        <w:pStyle w:val="Heading2"/>
      </w:pPr>
      <w:r>
        <w:t>Executive Summary</w:t>
      </w:r>
    </w:p>
    <w:p>
      <w:r>
        <w:t>This report covers the full fiscal year 2026 performance of the platform engineering organization, spanning infrastructure reliability, cost management, security posture, and team growth. Overall, the organization met or exceeded 11 of its 13 annual objectives, with the two missed objectives related to a delayed multi-region failover rollout and a security certification renewal that slipped by six weeks due to auditor scheduling. Leadership considers the year a strong success given the scale of migration work undertaken alongside day-to-day operational responsibilities.</w:t>
      </w:r>
    </w:p>
    <w:p>
      <w:pPr>
        <w:pStyle w:val="Heading2"/>
      </w:pPr>
      <w:r>
        <w:t>Infrastructure Reliability</w:t>
      </w:r>
    </w:p>
    <w:p>
      <w:r>
        <w:t>System-wide uptime for the year averaged 99.94 percent, just short of the 99.95 percent target, driven primarily by a single four-hour outage in March caused by a misconfigured load balancer health check during a routine deployment. Following that incident, the team implemented mandatory canary deployments for all load balancer configuration changes, which has prevented any recurrence in the eight months since. Mean time to detection across all incidents improved from an average of 14 minutes at the start of the year to 5 minutes by year end, attributed to the rollout of a new observability stack combining distributed tracing, structured logging, and anomaly-based alerting. Mean time to resolution similarly improved from 52 minutes to 22 minutes over the same period. A total of 47 incidents were logged during the year, of which 9 were classified as customer-impacting.</w:t>
      </w:r>
    </w:p>
    <w:p>
      <w:pPr>
        <w:pStyle w:val="Heading2"/>
      </w:pPr>
      <w:r>
        <w:t>Cost Optimization</w:t>
      </w:r>
    </w:p>
    <w:p>
      <w:r>
        <w:t>Cloud infrastructure spend was reduced by approximately 23 percent year over year, significantly exceeding the 15 percent target set at the beginning of the year. Key contributors included a comprehensive right-sizing exercise across all compute instances, migration of approximately 40 terabytes of infrequently accessed data to cold storage tiers, consolidation of three separate Kubernetes clusters into a single multi-tenant cluster with improved bin-packing, and renegotiation of committed-use discounts with the primary cloud provider. The finance team estimates these changes will save approximately 2.1 million rupees annually going forward, assuming stable workload growth.</w:t>
      </w:r>
    </w:p>
    <w:p>
      <w:pPr>
        <w:pStyle w:val="Heading2"/>
      </w:pPr>
      <w:r>
        <w:t>Security and Compliance</w:t>
      </w:r>
    </w:p>
    <w:p>
      <w:r>
        <w:t>The security team completed 34 of 36 planned security initiatives for the year, including a full rotation of all service account credentials, implementation of mandatory multi-factor authentication for all administrative access, and deployment of automated dependency vulnerability scanning across all repositories. The two incomplete initiatives were a planned penetration test that was rescheduled to early next year due to vendor availability, and a SOC 2 Type II recertification that experienced the auditor scheduling delay mentioned in the executive summary. No critical or high-severity security incidents were reported during the year. Three medium-severity vulnerabilities were identified through internal scanning and remediated within the standard 30-day window in all cases.</w:t>
      </w:r>
    </w:p>
    <w:p>
      <w:pPr>
        <w:pStyle w:val="Heading2"/>
      </w:pPr>
      <w:r>
        <w:t>Team Growth and Structure</w:t>
      </w:r>
    </w:p>
    <w:p>
      <w:r>
        <w:t>The platform engineering organization grew from 14 to 21 engineers over the course of the year, including the addition of a dedicated security engineering sub-team of three people that did not exist previously. Two engineers were promoted to senior roles, and one engineer transitioned internally from the product engineering organization to platform engineering. The on-call rotation was restructured from a single shared rotation across all 14 original engineers to three specialized rotations covering infrastructure, security, and data platforms respectively, which the team reports has meaningfully reduced on-call fatigue and improved incident response quality due to better subject-matter alignment.</w:t>
      </w:r>
    </w:p>
    <w:p>
      <w:pPr>
        <w:pStyle w:val="Heading2"/>
      </w:pPr>
      <w:r>
        <w:t>Migration Program</w:t>
      </w:r>
    </w:p>
    <w:p>
      <w:r>
        <w:t>The year included a major migration of the primary transactional database from a self-managed cluster to a fully managed database service, a project that spanned approximately five months and required careful coordination with the product engineering teams to avoid downtime during the cutover. The migration was completed successfully with a total of 90 seconds of read-only downtime during the final cutover window, well within the two-minute budget agreed with stakeholders. A separate, smaller migration moved the internal CI/CD pipeline from a self-hosted runner fleet to a managed build service, reducing pipeline maintenance overhead and improving average build times by roughly 35 percent.</w:t>
      </w:r>
    </w:p>
    <w:p>
      <w:pPr>
        <w:pStyle w:val="Heading2"/>
      </w:pPr>
      <w:r>
        <w:t>Looking Ahead to FY2027</w:t>
      </w:r>
    </w:p>
    <w:p>
      <w:r>
        <w:t>Priorities for the coming year include completing the deferred multi-region failover exercise and the delayed SOC 2 recertification, both carried over from this year. Additionally, the team plans to evaluate a service mesh for internal traffic management to improve observability and security of service-to-service communication, begin a phased rollout of infrastructure-as-code across the remaining 20 percent of resources not yet under version control, and expand the security engineering sub-team by two additional headcount. Budget requests for FY2027 total approximately 3.4 million rupees, primarily allocated to additional load-testing infrastructure, service mesh tooling licenses, and the two new security engineering hires.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