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Business Review - Q2 2026</w:t>
      </w:r>
    </w:p>
    <w:p>
      <w:r>
        <w:t>This report summarizes the performance of the cloud infrastructure team during the second quarter of 2026. Overall system uptime reached 99.95 percent, exceeding the internal SLA target of 99.9 percent. Three planned maintenance windows were executed without customer-facing incidents.</w:t>
      </w:r>
    </w:p>
    <w:p>
      <w:r>
        <w:t>Cost optimization initiatives reduced monthly cloud spend by approximately 18 percent, primarily through right-sizing of compute instances and migration of infrequently accessed storage to colder storage tiers. The team also completed a migration of the primary database layer to a managed service, reducing operational overhead for the on-call rotation.</w:t>
      </w:r>
    </w:p>
    <w:p>
      <w:r>
        <w:t>On the reliability side, mean time to detection for incidents dropped from 14 minutes to 6 minutes following the rollout of a new observability stack. Mean time to resolution improved similarly, from 52 minutes to 31 minutes. Two postmortems were published internally, both related to third-party API rate limiting rather than internal system failures.</w:t>
      </w:r>
    </w:p>
    <w:p>
      <w:r>
        <w:t>Looking ahead to Q3, the team plans to complete a multi-region failover exercise, onboard two new engineers, and begin evaluation of a service mesh for internal traffic management. Budget has been requested for additional load testing infrastructure to validate failover behavior under realistic traffic.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