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56"/>
          <w:szCs w:val="56"/>
        </w:rPr>
        <w:t xml:space="preserve">OrderPulse</w:t>
      </w:r>
    </w:p>
    <w:p>
      <w:pPr>
        <w:spacing w:after="300"/>
        <w:jc w:val="center"/>
      </w:pPr>
      <w:r>
        <w:rPr>
          <w:rFonts w:ascii="Calibri" w:cs="Calibri" w:eastAsia="Calibri" w:hAnsi="Calibri"/>
          <w:sz w:val="32"/>
          <w:szCs w:val="32"/>
        </w:rPr>
        <w:t xml:space="preserve">Spark-Based E-Commerce Order Analytics</w:t>
      </w:r>
    </w:p>
    <w:p>
      <w:pPr>
        <w:spacing w:after="800"/>
        <w:jc w:val="center"/>
      </w:pPr>
      <w:r>
        <w:rPr>
          <w:rFonts w:ascii="Calibri" w:cs="Calibri" w:eastAsia="Calibri" w:hAnsi="Calibri"/>
          <w:i/>
          <w:iCs/>
          <w:sz w:val="24"/>
          <w:szCs w:val="24"/>
        </w:rPr>
        <w:t xml:space="preserve">Technical Implementation Report — Week 6</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4000"/>
            <w:tcMar>
              <w:top w:type="dxa" w:w="80"/>
              <w:left w:type="dxa" w:w="120"/>
              <w:bottom w:type="dxa" w:w="80"/>
              <w:right w:type="dxa" w:w="120"/>
            </w:tcMar>
          </w:tcPr>
          <w:p>
            <w:r>
              <w:rPr>
                <w:rFonts w:ascii="Calibri" w:cs="Calibri" w:eastAsia="Calibri" w:hAnsi="Calibri"/>
                <w:sz w:val="20"/>
                <w:szCs w:val="20"/>
              </w:rPr>
              <w:t xml:space="preserve">Celebal Excellence Internship (CEI) 2026</w:t>
            </w:r>
          </w:p>
        </w:tc>
      </w:tr>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Track</w:t>
            </w:r>
          </w:p>
        </w:tc>
        <w:tc>
          <w:tcPr>
            <w:tcW w:type="dxa" w:w="4000"/>
            <w:tcMar>
              <w:top w:type="dxa" w:w="80"/>
              <w:left w:type="dxa" w:w="120"/>
              <w:bottom w:type="dxa" w:w="80"/>
              <w:right w:type="dxa" w:w="120"/>
            </w:tcMar>
          </w:tcPr>
          <w:p>
            <w:r>
              <w:rPr>
                <w:rFonts w:ascii="Calibri" w:cs="Calibri" w:eastAsia="Calibri" w:hAnsi="Calibri"/>
                <w:sz w:val="20"/>
                <w:szCs w:val="20"/>
              </w:rPr>
              <w:t xml:space="preserve">Data Engineering</w:t>
            </w:r>
          </w:p>
        </w:tc>
      </w:tr>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Assignment</w:t>
            </w:r>
          </w:p>
        </w:tc>
        <w:tc>
          <w:tcPr>
            <w:tcW w:type="dxa" w:w="4000"/>
            <w:tcMar>
              <w:top w:type="dxa" w:w="80"/>
              <w:left w:type="dxa" w:w="120"/>
              <w:bottom w:type="dxa" w:w="80"/>
              <w:right w:type="dxa" w:w="120"/>
            </w:tcMar>
          </w:tcPr>
          <w:p>
            <w:r>
              <w:rPr>
                <w:rFonts w:ascii="Calibri" w:cs="Calibri" w:eastAsia="Calibri" w:hAnsi="Calibri"/>
                <w:sz w:val="20"/>
                <w:szCs w:val="20"/>
              </w:rPr>
              <w:t xml:space="preserve">Week 6 — Apache Spark Fundamentals</w:t>
            </w:r>
          </w:p>
        </w:tc>
      </w:tr>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Author</w:t>
            </w:r>
          </w:p>
        </w:tc>
        <w:tc>
          <w:tcPr>
            <w:tcW w:type="dxa" w:w="4000"/>
            <w:tcMar>
              <w:top w:type="dxa" w:w="80"/>
              <w:left w:type="dxa" w:w="120"/>
              <w:bottom w:type="dxa" w:w="80"/>
              <w:right w:type="dxa" w:w="120"/>
            </w:tcMar>
          </w:tcPr>
          <w:p>
            <w:r>
              <w:rPr>
                <w:rFonts w:ascii="Calibri" w:cs="Calibri" w:eastAsia="Calibri" w:hAnsi="Calibri"/>
                <w:sz w:val="20"/>
                <w:szCs w:val="20"/>
              </w:rPr>
              <w:t xml:space="preserve">Nikhil Rohilla</w:t>
            </w:r>
          </w:p>
        </w:tc>
      </w:tr>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Institution</w:t>
            </w:r>
          </w:p>
        </w:tc>
        <w:tc>
          <w:tcPr>
            <w:tcW w:type="dxa" w:w="4000"/>
            <w:tcMar>
              <w:top w:type="dxa" w:w="80"/>
              <w:left w:type="dxa" w:w="120"/>
              <w:bottom w:type="dxa" w:w="80"/>
              <w:right w:type="dxa" w:w="120"/>
            </w:tcMar>
          </w:tcPr>
          <w:p>
            <w:r>
              <w:rPr>
                <w:rFonts w:ascii="Calibri" w:cs="Calibri" w:eastAsia="Calibri" w:hAnsi="Calibri"/>
                <w:sz w:val="20"/>
                <w:szCs w:val="20"/>
              </w:rPr>
              <w:t xml:space="preserve">DIT University</w:t>
            </w:r>
          </w:p>
        </w:tc>
      </w:tr>
      <w:tr>
        <w:tc>
          <w:tcPr>
            <w:tcW w:type="dxa" w:w="3000"/>
            <w:shd w:fill="EAF1F8" w:val="clear"/>
            <w:tcMar>
              <w:top w:type="dxa" w:w="80"/>
              <w:left w:type="dxa" w:w="120"/>
              <w:bottom w:type="dxa" w:w="80"/>
              <w:right w:type="dxa" w:w="120"/>
            </w:tcMar>
          </w:tcPr>
          <w:p>
            <w:r>
              <w:rPr>
                <w:rFonts w:ascii="Calibri" w:cs="Calibri" w:eastAsia="Calibri" w:hAnsi="Calibri"/>
                <w:b/>
                <w:bCs/>
                <w:sz w:val="20"/>
                <w:szCs w:val="20"/>
              </w:rPr>
              <w:t xml:space="preserve">Tooling</w:t>
            </w:r>
          </w:p>
        </w:tc>
        <w:tc>
          <w:tcPr>
            <w:tcW w:type="dxa" w:w="4000"/>
            <w:tcMar>
              <w:top w:type="dxa" w:w="80"/>
              <w:left w:type="dxa" w:w="120"/>
              <w:bottom w:type="dxa" w:w="80"/>
              <w:right w:type="dxa" w:w="120"/>
            </w:tcMar>
          </w:tcPr>
          <w:p>
            <w:r>
              <w:rPr>
                <w:rFonts w:ascii="Calibri" w:cs="Calibri" w:eastAsia="Calibri" w:hAnsi="Calibri"/>
                <w:sz w:val="20"/>
                <w:szCs w:val="20"/>
              </w:rPr>
              <w:t xml:space="preserve">Apache Spark 3.5.1 (PySpark), Jupyter, Python 3.12</w:t>
            </w:r>
          </w:p>
        </w:tc>
      </w:tr>
    </w:tbl>
    <w:p>
      <w:r>
        <w:br w:type="page"/>
      </w:r>
    </w:p>
    <w:p>
      <w:pPr>
        <w:pStyle w:val="Heading1"/>
        <w:spacing w:after="160" w:before="320"/>
      </w:pPr>
      <w:r>
        <w:t xml:space="preserve">Certificate Information</w:t>
      </w:r>
    </w:p>
    <w:p>
      <w:pPr>
        <w:spacing w:after="140"/>
      </w:pPr>
      <w:r>
        <w:rPr>
          <w:rFonts w:ascii="Calibri" w:cs="Calibri" w:eastAsia="Calibri" w:hAnsi="Calibri"/>
          <w:sz w:val="22"/>
          <w:szCs w:val="22"/>
        </w:rPr>
        <w:t xml:space="preserve">This report documents independent work completed as part of the Week 6 deliverable under the Celebal Excellence Internship (CEI) 2026, Data Engineering track. The accompanying notebook, dataset, and generated outputs referenced throughout this document were produced by executing the pipeline described herein on a local Apache Spark 3.5.1 runtime.</w:t>
      </w:r>
    </w:p>
    <w:p>
      <w:pPr>
        <w:spacing w:after="140"/>
      </w:pPr>
      <w:r>
        <w:rPr>
          <w:rFonts w:ascii="Calibri" w:cs="Calibri" w:eastAsia="Calibri" w:hAnsi="Calibri"/>
          <w:sz w:val="22"/>
          <w:szCs w:val="22"/>
        </w:rPr>
        <w:t xml:space="preserve">Deliverables associated with this report: Week6_Spark_Assignment.ipynb, ecommerce_orders.csv, parquet_data/, processed_csv/, and README.md, all located in the Week-6/ project directory alongside this document.</w:t>
      </w:r>
    </w:p>
    <w:p>
      <w:pPr>
        <w:pStyle w:val="Heading1"/>
        <w:spacing w:after="160" w:before="320"/>
      </w:pPr>
      <w:r>
        <w:t xml:space="preserve">Assignment Objective</w:t>
      </w:r>
    </w:p>
    <w:p>
      <w:pPr>
        <w:spacing w:after="140"/>
      </w:pPr>
      <w:r>
        <w:rPr>
          <w:rFonts w:ascii="Calibri" w:cs="Calibri" w:eastAsia="Calibri" w:hAnsi="Calibri"/>
          <w:sz w:val="22"/>
          <w:szCs w:val="22"/>
        </w:rPr>
        <w:t xml:space="preserve">The Week 6 assignment sheet poses fifteen questions spanning Spark's execution architecture, DataFrame transformation mechanics, and file-format trade-offs. Rather than answering each in isolation, this project treats them as check-points inside a single, coherent Spark pipeline built around a realistic order-processing scenario. The objective is threefold:</w:t>
      </w:r>
    </w:p>
    <w:p>
      <w:pPr>
        <w:pStyle w:val="ListParagraph"/>
        <w:numPr>
          <w:ilvl w:val="0"/>
          <w:numId w:val="2"/>
        </w:numPr>
        <w:spacing w:after="80"/>
      </w:pPr>
      <w:r>
        <w:rPr>
          <w:rFonts w:ascii="Calibri" w:cs="Calibri" w:eastAsia="Calibri" w:hAnsi="Calibri"/>
          <w:sz w:val="22"/>
          <w:szCs w:val="22"/>
        </w:rPr>
        <w:t xml:space="preserve">Demonstrate correct, idiomatic use of every required DataFrame operation — schema inference, filtering, casting, derived columns, null handling, Parquet/CSV I/O, and plan inspection — against a genuine dataset rather than toy rows.</w:t>
      </w:r>
    </w:p>
    <w:p>
      <w:pPr>
        <w:pStyle w:val="ListParagraph"/>
        <w:numPr>
          <w:ilvl w:val="0"/>
          <w:numId w:val="2"/>
        </w:numPr>
        <w:spacing w:after="80"/>
      </w:pPr>
      <w:r>
        <w:rPr>
          <w:rFonts w:ascii="Calibri" w:cs="Calibri" w:eastAsia="Calibri" w:hAnsi="Calibri"/>
          <w:sz w:val="22"/>
          <w:szCs w:val="22"/>
        </w:rPr>
        <w:t xml:space="preserve">Answer all fifteen assignment questions with working code or a teaching-style explanation, embedded at the point in the pipeline where that concept naturally applies.</w:t>
      </w:r>
    </w:p>
    <w:p>
      <w:pPr>
        <w:pStyle w:val="ListParagraph"/>
        <w:numPr>
          <w:ilvl w:val="0"/>
          <w:numId w:val="2"/>
        </w:numPr>
        <w:spacing w:after="80"/>
      </w:pPr>
      <w:r>
        <w:rPr>
          <w:rFonts w:ascii="Calibri" w:cs="Calibri" w:eastAsia="Calibri" w:hAnsi="Calibri"/>
          <w:sz w:val="22"/>
          <w:szCs w:val="22"/>
        </w:rPr>
        <w:t xml:space="preserve">Produce a persisted, analytics-ready dataset (Parquet + filtered CSV) as tangible pipeline output, not just console printouts.</w:t>
      </w:r>
    </w:p>
    <w:p>
      <w:pPr>
        <w:pStyle w:val="Heading1"/>
        <w:spacing w:after="160" w:before="320"/>
      </w:pPr>
      <w:r>
        <w:t xml:space="preserve">Business Scenario</w:t>
      </w:r>
    </w:p>
    <w:p>
      <w:pPr>
        <w:spacing w:after="140"/>
      </w:pPr>
      <w:r>
        <w:rPr>
          <w:rFonts w:ascii="Calibri" w:cs="Calibri" w:eastAsia="Calibri" w:hAnsi="Calibri"/>
          <w:sz w:val="22"/>
          <w:szCs w:val="22"/>
        </w:rPr>
        <w:t xml:space="preserve">OrderPulse is modelled as a mid-sized online marketplace operating across five fulfilment zones — North, South, East, West, and Central — routing orders through five regional warehouses. Its daily order export is known to carry two recurring data-quality issues: guest checkouts leave Customer_ID blank, and retried transactions occasionally leave Payment_Mode blank. Additionally, the Unit_Price field is treated as a raw string on ingest, mirroring source systems where numeric fields are not guaranteed to arrive pre-typed.</w:t>
      </w:r>
    </w:p>
    <w:p>
      <w:pPr>
        <w:spacing w:after="140"/>
      </w:pPr>
      <w:r>
        <w:rPr>
          <w:rFonts w:ascii="Calibri" w:cs="Calibri" w:eastAsia="Calibri" w:hAnsi="Calibri"/>
          <w:sz w:val="22"/>
          <w:szCs w:val="22"/>
        </w:rPr>
        <w:t xml:space="preserve">The pipeline built for this assignment answers the questions OrderPulse's operations team actually needs answered day to day: which orders are high-value enough to flag for manual review, how revenue and average order value differ by region, and which payment channel dominates within each product category.</w:t>
      </w:r>
    </w:p>
    <w:p>
      <w:pPr>
        <w:pStyle w:val="Heading1"/>
        <w:spacing w:after="160" w:before="320"/>
      </w:pPr>
      <w:r>
        <w:t xml:space="preserve">Apache Spark Overview</w:t>
      </w:r>
    </w:p>
    <w:p>
      <w:pPr>
        <w:spacing w:after="140"/>
      </w:pPr>
      <w:r>
        <w:rPr>
          <w:rFonts w:ascii="Calibri" w:cs="Calibri" w:eastAsia="Calibri" w:hAnsi="Calibri"/>
          <w:sz w:val="22"/>
          <w:szCs w:val="22"/>
        </w:rPr>
        <w:t xml:space="preserve">Apache Spark is a distributed data-processing engine built around the idea of describing computation as a chain of transformations over an immutable, partitioned dataset — historically RDDs, and in this project, DataFrames. Three roles cooperate to execute a Spark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Driver</w:t>
            </w:r>
          </w:p>
          <w:p>
            <w:pPr>
              <w:spacing w:after="20"/>
            </w:pPr>
            <w:r>
              <w:rPr>
                <w:rFonts w:ascii="Consolas" w:cs="Consolas" w:eastAsia="Consolas" w:hAnsi="Consolas"/>
                <w:sz w:val="18"/>
                <w:szCs w:val="18"/>
              </w:rPr>
              <w:t xml:space="preserve">          |   (builds the DAG, schedules stages, tracks task status)</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  Cluster Manager</w:t>
            </w:r>
          </w:p>
          <w:p>
            <w:pPr>
              <w:spacing w:after="20"/>
            </w:pPr>
            <w:r>
              <w:rPr>
                <w:rFonts w:ascii="Consolas" w:cs="Consolas" w:eastAsia="Consolas" w:hAnsi="Consolas"/>
                <w:sz w:val="18"/>
                <w:szCs w:val="18"/>
              </w:rPr>
              <w:t xml:space="preserve">          |   (allocates executor containers on worker nodes)</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      Executors</w:t>
            </w:r>
          </w:p>
          <w:p>
            <w:pPr>
              <w:spacing w:after="20"/>
            </w:pPr>
            <w:r>
              <w:rPr>
                <w:rFonts w:ascii="Consolas" w:cs="Consolas" w:eastAsia="Consolas" w:hAnsi="Consolas"/>
                <w:sz w:val="18"/>
                <w:szCs w:val="18"/>
              </w:rPr>
              <w:t xml:space="preserve">   (execute tasks, hold partitions, shuffle data, return results)</w:t>
            </w:r>
          </w:p>
        </w:tc>
      </w:tr>
    </w:tbl>
    <w:p>
      <w:pPr>
        <w:spacing w:after="140"/>
      </w:pPr>
      <w:r>
        <w:rPr>
          <w:rFonts w:ascii="Calibri" w:cs="Calibri" w:eastAsia="Calibri" w:hAnsi="Calibri"/>
          <w:sz w:val="22"/>
          <w:szCs w:val="22"/>
        </w:rPr>
        <w:t xml:space="preserve">The Driver owns the SparkSession and the logical plan; the Cluster Manager (YARN, Kubernetes, or Spark Standalone) grants the Driver compute capacity; the Executors do the actual reading, transforming, and writing of data partitions. When a SparkSession is built with .master("local[*]"), all three roles run as threads inside a single JVM — the architecture is unchanged, only the deployment topology is collapsed for local development, which is exactly the setup used throughout this project's notebook.</w:t>
      </w:r>
    </w:p>
    <w:p>
      <w:pPr>
        <w:spacing w:after="140"/>
      </w:pPr>
      <w:r>
        <w:rPr>
          <w:rFonts w:ascii="Calibri" w:cs="Calibri" w:eastAsia="Calibri" w:hAnsi="Calibri"/>
          <w:sz w:val="22"/>
          <w:szCs w:val="22"/>
        </w:rPr>
        <w:t xml:space="preserve">Spark's execution model is lazy: transformations such as .select(), .filter(), and .withColumn() only extend a logical plan, and nothing runs until an action — .show(), .count(), or .write() — triggers it. This separation lets Spark's optimizer see the full chain of operations before committing to an execution strategy, enabling optimizations such as predicate pushdown and column pruning that would be impossible if each line executed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Transformations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Lazy Evaluation   (plan is recorded, nothing computed yet)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DAG Creation      (plan compiled into a Directed Acyclic Graph of stages)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Action            (.show(), .count(), .write() trigger execution)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w:t>
            </w:r>
          </w:p>
          <w:p>
            <w:pPr>
              <w:spacing w:after="20"/>
            </w:pPr>
            <w:r>
              <w:rPr>
                <w:rFonts w:ascii="Consolas" w:cs="Consolas" w:eastAsia="Consolas" w:hAnsi="Consolas"/>
                <w:sz w:val="18"/>
                <w:szCs w:val="18"/>
              </w:rPr>
              <w:t xml:space="preserve">Execution         (DAG scheduled onto executors as real tasks)</w:t>
            </w:r>
          </w:p>
        </w:tc>
      </w:tr>
    </w:tbl>
    <w:p>
      <w:pPr>
        <w:pStyle w:val="Heading1"/>
        <w:spacing w:after="160" w:before="320"/>
      </w:pPr>
      <w:r>
        <w:t xml:space="preserve">Implementation Steps</w:t>
      </w:r>
    </w:p>
    <w:p>
      <w:pPr>
        <w:spacing w:after="140"/>
      </w:pPr>
      <w:r>
        <w:rPr>
          <w:rFonts w:ascii="Calibri" w:cs="Calibri" w:eastAsia="Calibri" w:hAnsi="Calibri"/>
          <w:sz w:val="22"/>
          <w:szCs w:val="22"/>
        </w:rPr>
        <w:t xml:space="preserve">The pipeline was implemented in seven stages inside Week6_Spark_Assignment.ipynb, executed end-to-end with jupyter nbconvert --execute so that every output shown in this report reflects a genuine run rather than a hand-written transcript.</w:t>
      </w:r>
    </w:p>
    <w:p>
      <w:pPr>
        <w:pStyle w:val="Heading2"/>
        <w:spacing w:after="120" w:before="240"/>
      </w:pPr>
      <w:r>
        <w:t xml:space="preserve">1. Environment and Session Setup</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Initialize a local SparkSession with a shuffle-partition count appropriate for a small dataset.</w:t>
      </w:r>
    </w:p>
    <w:p>
      <w:pPr>
        <w:spacing w:after="60" w:before="160"/>
      </w:pPr>
      <w:r>
        <w:rPr>
          <w:rFonts w:ascii="Calibri" w:cs="Calibri" w:eastAsia="Calibri" w:hAnsi="Calibri"/>
          <w:b/>
          <w:bCs/>
          <w:i/>
          <w:iCs/>
          <w:color w:val="1F4E79"/>
          <w:sz w:val="22"/>
          <w:szCs w:val="22"/>
        </w:rPr>
        <w:t xml:space="preserve">Implementation</w:t>
      </w:r>
    </w:p>
    <w:p>
      <w:pPr>
        <w:spacing w:after="140"/>
      </w:pPr>
      <w:r>
        <w:rPr>
          <w:rFonts w:ascii="Calibri" w:cs="Calibri" w:eastAsia="Calibri" w:hAnsi="Calibri"/>
          <w:sz w:val="22"/>
          <w:szCs w:val="22"/>
        </w:rPr>
        <w:t xml:space="preserve">spark.sql.shuffle.partitions was lowered from Spark's cluster-oriented default of 200 to 4, since 200 tiny partitions on a 60-row dataset would introduce far more task-scheduling overhead than actual processing work.</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spark = (</w:t>
            </w:r>
          </w:p>
          <w:p>
            <w:pPr>
              <w:spacing w:after="20"/>
            </w:pPr>
            <w:r>
              <w:rPr>
                <w:rFonts w:ascii="Consolas" w:cs="Consolas" w:eastAsia="Consolas" w:hAnsi="Consolas"/>
                <w:sz w:val="18"/>
                <w:szCs w:val="18"/>
              </w:rPr>
              <w:t xml:space="preserve">    SparkSession.builder</w:t>
            </w:r>
          </w:p>
          <w:p>
            <w:pPr>
              <w:spacing w:after="20"/>
            </w:pPr>
            <w:r>
              <w:rPr>
                <w:rFonts w:ascii="Consolas" w:cs="Consolas" w:eastAsia="Consolas" w:hAnsi="Consolas"/>
                <w:sz w:val="18"/>
                <w:szCs w:val="18"/>
              </w:rPr>
              <w:t xml:space="preserve">    .appName("OrderPulse-EcommerceAnalytics")</w:t>
            </w:r>
          </w:p>
          <w:p>
            <w:pPr>
              <w:spacing w:after="20"/>
            </w:pPr>
            <w:r>
              <w:rPr>
                <w:rFonts w:ascii="Consolas" w:cs="Consolas" w:eastAsia="Consolas" w:hAnsi="Consolas"/>
                <w:sz w:val="18"/>
                <w:szCs w:val="18"/>
              </w:rPr>
              <w:t xml:space="preserve">    .master("local[*]")</w:t>
            </w:r>
          </w:p>
          <w:p>
            <w:pPr>
              <w:spacing w:after="20"/>
            </w:pPr>
            <w:r>
              <w:rPr>
                <w:rFonts w:ascii="Consolas" w:cs="Consolas" w:eastAsia="Consolas" w:hAnsi="Consolas"/>
                <w:sz w:val="18"/>
                <w:szCs w:val="18"/>
              </w:rPr>
              <w:t xml:space="preserve">    .config("spark.sql.shuffle.partitions", "4")</w:t>
            </w:r>
          </w:p>
          <w:p>
            <w:pPr>
              <w:spacing w:after="20"/>
            </w:pPr>
            <w:r>
              <w:rPr>
                <w:rFonts w:ascii="Consolas" w:cs="Consolas" w:eastAsia="Consolas" w:hAnsi="Consolas"/>
                <w:sz w:val="18"/>
                <w:szCs w:val="18"/>
              </w:rPr>
              <w:t xml:space="preserve">    .getOrCreate()</w:t>
            </w:r>
          </w:p>
          <w:p>
            <w:pPr>
              <w:spacing w:after="20"/>
            </w:pPr>
            <w:r>
              <w:rPr>
                <w:rFonts w:ascii="Consolas" w:cs="Consolas" w:eastAsia="Consolas" w:hAnsi="Consolas"/>
                <w:sz w:val="18"/>
                <w:szCs w:val="18"/>
              </w:rPr>
              <w:t xml:space="preserve">)</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Spark version: 3.5.1</w:t>
            </w:r>
          </w:p>
          <w:p>
            <w:pPr>
              <w:spacing w:after="20"/>
            </w:pPr>
            <w:r>
              <w:rPr>
                <w:rFonts w:ascii="Consolas" w:cs="Consolas" w:eastAsia="Consolas" w:hAnsi="Consolas"/>
                <w:sz w:val="18"/>
                <w:szCs w:val="18"/>
              </w:rPr>
              <w:t xml:space="preserve">Application ID: local-1785093777093</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The session initialized cleanly on a single JVM. Application ID confirms the Driver and Executors are colocated in local mode, consistent with the Client Mode deployment discussed in the theory section below.</w:t>
      </w:r>
    </w:p>
    <w:p>
      <w:pPr>
        <w:pStyle w:val="Heading2"/>
        <w:spacing w:after="120" w:before="240"/>
      </w:pPr>
      <w:r>
        <w:t xml:space="preserve">2. Data Loading — inferSchema vs Explicit Schema</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Load the raw CSV feed with a header row and inferred types, then reload it with an explicit schema to keep Unit_Price as a string for a later, meaningful casting demonstration.</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orders_inferred = spark.read.csv(</w:t>
            </w:r>
          </w:p>
          <w:p>
            <w:pPr>
              <w:spacing w:after="20"/>
            </w:pPr>
            <w:r>
              <w:rPr>
                <w:rFonts w:ascii="Consolas" w:cs="Consolas" w:eastAsia="Consolas" w:hAnsi="Consolas"/>
                <w:sz w:val="18"/>
                <w:szCs w:val="18"/>
              </w:rPr>
              <w:t xml:space="preserve">    "ecommerce_orders.csv", header=True, inferSchema=True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orders_inferred.printSchema()</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root</w:t>
            </w:r>
          </w:p>
          <w:p>
            <w:pPr>
              <w:spacing w:after="20"/>
            </w:pPr>
            <w:r>
              <w:rPr>
                <w:rFonts w:ascii="Consolas" w:cs="Consolas" w:eastAsia="Consolas" w:hAnsi="Consolas"/>
                <w:sz w:val="18"/>
                <w:szCs w:val="18"/>
              </w:rPr>
              <w:t xml:space="preserve"> |-- Order_ID: string (nullable = true)</w:t>
            </w:r>
          </w:p>
          <w:p>
            <w:pPr>
              <w:spacing w:after="20"/>
            </w:pPr>
            <w:r>
              <w:rPr>
                <w:rFonts w:ascii="Consolas" w:cs="Consolas" w:eastAsia="Consolas" w:hAnsi="Consolas"/>
                <w:sz w:val="18"/>
                <w:szCs w:val="18"/>
              </w:rPr>
              <w:t xml:space="preserve"> |-- Customer_ID: string (nullable = true)</w:t>
            </w:r>
          </w:p>
          <w:p>
            <w:pPr>
              <w:spacing w:after="20"/>
            </w:pPr>
            <w:r>
              <w:rPr>
                <w:rFonts w:ascii="Consolas" w:cs="Consolas" w:eastAsia="Consolas" w:hAnsi="Consolas"/>
                <w:sz w:val="18"/>
                <w:szCs w:val="18"/>
              </w:rPr>
              <w:t xml:space="preserve"> |-- Quantity: integer (nullable = true)</w:t>
            </w:r>
          </w:p>
          <w:p>
            <w:pPr>
              <w:spacing w:after="20"/>
            </w:pPr>
            <w:r>
              <w:rPr>
                <w:rFonts w:ascii="Consolas" w:cs="Consolas" w:eastAsia="Consolas" w:hAnsi="Consolas"/>
                <w:sz w:val="18"/>
                <w:szCs w:val="18"/>
              </w:rPr>
              <w:t xml:space="preserve"> |-- Unit_Price: double (nullable = true)</w:t>
            </w:r>
          </w:p>
          <w:p>
            <w:pPr>
              <w:spacing w:after="20"/>
            </w:pPr>
            <w:r>
              <w:rPr>
                <w:rFonts w:ascii="Consolas" w:cs="Consolas" w:eastAsia="Consolas" w:hAnsi="Consolas"/>
                <w:sz w:val="18"/>
                <w:szCs w:val="18"/>
              </w:rPr>
              <w:t xml:space="preserve"> |-- Total_Amount: double (nullable = true)</w:t>
            </w:r>
          </w:p>
          <w:p>
            <w:pPr>
              <w:spacing w:after="20"/>
            </w:pPr>
            <w:r>
              <w:rPr>
                <w:rFonts w:ascii="Consolas" w:cs="Consolas" w:eastAsia="Consolas" w:hAnsi="Consolas"/>
                <w:sz w:val="18"/>
                <w:szCs w:val="18"/>
              </w:rPr>
              <w:t xml:space="preserve"> |-- ... (14 columns total)</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inferSchema correctly detected Unit_Price as numeric because the sample data is well-formed. An explicit StructType was defined immediately after, deliberately typing Unit_Price as StringType, so the rename-and-cast operation performed later in the pipeline is a genuine type conversion rather than a no-op.</w:t>
      </w:r>
    </w:p>
    <w:p>
      <w:pPr>
        <w:pStyle w:val="Heading2"/>
        <w:spacing w:after="120" w:before="240"/>
      </w:pPr>
      <w:r>
        <w:t xml:space="preserve">3. Data Understanding and Cleaning</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Establish row counts and category composition, then audit and remediate missing values before any aggregation is trusted.</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null_audit = orders_df.select([</w:t>
            </w:r>
          </w:p>
          <w:p>
            <w:pPr>
              <w:spacing w:after="20"/>
            </w:pPr>
            <w:r>
              <w:rPr>
                <w:rFonts w:ascii="Consolas" w:cs="Consolas" w:eastAsia="Consolas" w:hAnsi="Consolas"/>
                <w:sz w:val="18"/>
                <w:szCs w:val="18"/>
              </w:rPr>
              <w:t xml:space="preserve">    spark_count(when(col(c).isNull() | (col(c) == ""), c)).alias(c)</w:t>
            </w:r>
          </w:p>
          <w:p>
            <w:pPr>
              <w:spacing w:after="20"/>
            </w:pPr>
            <w:r>
              <w:rPr>
                <w:rFonts w:ascii="Consolas" w:cs="Consolas" w:eastAsia="Consolas" w:hAnsi="Consolas"/>
                <w:sz w:val="18"/>
                <w:szCs w:val="18"/>
              </w:rPr>
              <w:t xml:space="preserve">    for c in orders_df.columns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null_audit.show()</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 +------------+</w:t>
            </w:r>
          </w:p>
          <w:p>
            <w:pPr>
              <w:spacing w:after="20"/>
            </w:pPr>
            <w:r>
              <w:rPr>
                <w:rFonts w:ascii="Consolas" w:cs="Consolas" w:eastAsia="Consolas" w:hAnsi="Consolas"/>
                <w:sz w:val="18"/>
                <w:szCs w:val="18"/>
              </w:rPr>
              <w:t xml:space="preserve">|Order_ID|Customer_ID| ... |Payment_Mode|</w:t>
            </w:r>
          </w:p>
          <w:p>
            <w:pPr>
              <w:spacing w:after="20"/>
            </w:pPr>
            <w:r>
              <w:rPr>
                <w:rFonts w:ascii="Consolas" w:cs="Consolas" w:eastAsia="Consolas" w:hAnsi="Consolas"/>
                <w:sz w:val="18"/>
                <w:szCs w:val="18"/>
              </w:rPr>
              <w:t xml:space="preserve">+--------+-----------+ ... +------------+</w:t>
            </w:r>
          </w:p>
          <w:p>
            <w:pPr>
              <w:spacing w:after="20"/>
            </w:pPr>
            <w:r>
              <w:rPr>
                <w:rFonts w:ascii="Consolas" w:cs="Consolas" w:eastAsia="Consolas" w:hAnsi="Consolas"/>
                <w:sz w:val="18"/>
                <w:szCs w:val="18"/>
              </w:rPr>
              <w:t xml:space="preserve">|       0|          3| ... |           2|</w:t>
            </w:r>
          </w:p>
          <w:p>
            <w:pPr>
              <w:spacing w:after="20"/>
            </w:pPr>
            <w:r>
              <w:rPr>
                <w:rFonts w:ascii="Consolas" w:cs="Consolas" w:eastAsia="Consolas" w:hAnsi="Consolas"/>
                <w:sz w:val="18"/>
                <w:szCs w:val="18"/>
              </w:rPr>
              <w:t xml:space="preserve">+--------+-----------+ ... +------------+</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3 of 60 rows were missing Customer_ID and 2 were missing Payment_Mode — no other column had gaps. Both were filled with explicit sentinel values (UNKNOWN and Not Specified respectively) via na.fill(), preserving all 60 rows for downstream aggregation instead of silently dropping revenue-bearing records.</w:t>
      </w:r>
    </w:p>
    <w:p>
      <w:pPr>
        <w:pStyle w:val="Heading2"/>
        <w:spacing w:after="120" w:before="240"/>
      </w:pPr>
      <w:r>
        <w:t xml:space="preserve">4. Filtering, Renaming, Casting, and Derived Columns</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Demonstrate compound AND/OR filters, a rename-plus-cast operation, and a computed tax-inclusive price column.</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high_value_completed = orders_clean.filter(</w:t>
            </w:r>
          </w:p>
          <w:p>
            <w:pPr>
              <w:spacing w:after="20"/>
            </w:pPr>
            <w:r>
              <w:rPr>
                <w:rFonts w:ascii="Consolas" w:cs="Consolas" w:eastAsia="Consolas" w:hAnsi="Consolas"/>
                <w:sz w:val="18"/>
                <w:szCs w:val="18"/>
              </w:rPr>
              <w:t xml:space="preserve">    (col("Order_Status") == "Completed") &amp; (col("Total_Amount") &gt; 10000)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north_or_upi = orders_clean.filter(</w:t>
            </w:r>
          </w:p>
          <w:p>
            <w:pPr>
              <w:spacing w:after="20"/>
            </w:pPr>
            <w:r>
              <w:rPr>
                <w:rFonts w:ascii="Consolas" w:cs="Consolas" w:eastAsia="Consolas" w:hAnsi="Consolas"/>
                <w:sz w:val="18"/>
                <w:szCs w:val="18"/>
              </w:rPr>
              <w:t xml:space="preserve">    (col("Region") == "North") | (col("Payment_Mode") == "UPI")</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orders_revised = orders_clean.withColumnRenamed("Unit_Price", "unit_price_raw") \</w:t>
            </w:r>
          </w:p>
          <w:p>
            <w:pPr>
              <w:spacing w:after="20"/>
            </w:pPr>
            <w:r>
              <w:rPr>
                <w:rFonts w:ascii="Consolas" w:cs="Consolas" w:eastAsia="Consolas" w:hAnsi="Consolas"/>
                <w:sz w:val="18"/>
                <w:szCs w:val="18"/>
              </w:rPr>
              <w:t xml:space="preserve">    .withColumn("unit_price", col("unit_price_raw").cast(DoubleType())) \</w:t>
            </w:r>
          </w:p>
          <w:p>
            <w:pPr>
              <w:spacing w:after="20"/>
            </w:pPr>
            <w:r>
              <w:rPr>
                <w:rFonts w:ascii="Consolas" w:cs="Consolas" w:eastAsia="Consolas" w:hAnsi="Consolas"/>
                <w:sz w:val="18"/>
                <w:szCs w:val="18"/>
              </w:rPr>
              <w:t xml:space="preserve">    .drop("unit_price_raw")</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orders_priced = orders_revised.withColumn(</w:t>
            </w:r>
          </w:p>
          <w:p>
            <w:pPr>
              <w:spacing w:after="20"/>
            </w:pPr>
            <w:r>
              <w:rPr>
                <w:rFonts w:ascii="Consolas" w:cs="Consolas" w:eastAsia="Consolas" w:hAnsi="Consolas"/>
                <w:sz w:val="18"/>
                <w:szCs w:val="18"/>
              </w:rPr>
              <w:t xml:space="preserve">    "final_price", spark_round(col("unit_price") * 1.18, 2)</w:t>
            </w:r>
          </w:p>
          <w:p>
            <w:pPr>
              <w:spacing w:after="20"/>
            </w:pPr>
            <w:r>
              <w:rPr>
                <w:rFonts w:ascii="Consolas" w:cs="Consolas" w:eastAsia="Consolas" w:hAnsi="Consolas"/>
                <w:sz w:val="18"/>
                <w:szCs w:val="18"/>
              </w:rPr>
              <w:t xml:space="preserve">)</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High-value completed orders: 7</w:t>
            </w:r>
          </w:p>
          <w:p>
            <w:pPr>
              <w:spacing w:after="20"/>
            </w:pPr>
            <w:r>
              <w:rPr>
                <w:rFonts w:ascii="Consolas" w:cs="Consolas" w:eastAsia="Consolas" w:hAnsi="Consolas"/>
                <w:sz w:val="18"/>
                <w:szCs w:val="18"/>
              </w:rPr>
              <w:t xml:space="preserve">Matching rows (North OR UPI): 16</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Order_ID | unit_price | final_price</w:t>
            </w:r>
          </w:p>
          <w:p>
            <w:pPr>
              <w:spacing w:after="20"/>
            </w:pPr>
            <w:r>
              <w:rPr>
                <w:rFonts w:ascii="Consolas" w:cs="Consolas" w:eastAsia="Consolas" w:hAnsi="Consolas"/>
                <w:sz w:val="18"/>
                <w:szCs w:val="18"/>
              </w:rPr>
              <w:t xml:space="preserve">ORD1001  |     985.72 |    1163.15</w:t>
            </w:r>
          </w:p>
          <w:p>
            <w:pPr>
              <w:spacing w:after="20"/>
            </w:pPr>
            <w:r>
              <w:rPr>
                <w:rFonts w:ascii="Consolas" w:cs="Consolas" w:eastAsia="Consolas" w:hAnsi="Consolas"/>
                <w:sz w:val="18"/>
                <w:szCs w:val="18"/>
              </w:rPr>
              <w:t xml:space="preserve">ORD1002  |     217.58 |     256.74</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7 of 60 orders were both Completed and above the 10,000 revenue threshold — a small enough set that operations staff could review manually. The North-or-UPI filter matched 16 rows, confirming both branches of the OR condition are independently satisfiable in the dataset. The cast from string to double succeeded without error, confirming the source values were numerically well-formed despite arriving as strings.</w:t>
      </w:r>
    </w:p>
    <w:p>
      <w:pPr>
        <w:pStyle w:val="Heading2"/>
        <w:spacing w:after="120" w:before="240"/>
      </w:pPr>
      <w:r>
        <w:t xml:space="preserve">5. Business Queries</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Surface regional revenue performance and category-level payment channel preferences using distinct(), groupBy(), and orderBy().</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orders_priced.groupBy("Region").agg(</w:t>
            </w:r>
          </w:p>
          <w:p>
            <w:pPr>
              <w:spacing w:after="20"/>
            </w:pPr>
            <w:r>
              <w:rPr>
                <w:rFonts w:ascii="Consolas" w:cs="Consolas" w:eastAsia="Consolas" w:hAnsi="Consolas"/>
                <w:sz w:val="18"/>
                <w:szCs w:val="18"/>
              </w:rPr>
              <w:t xml:space="preserve">    spark_round(avg("Total_Amount"), 2).alias("avg_order_value"),</w:t>
            </w:r>
          </w:p>
          <w:p>
            <w:pPr>
              <w:spacing w:after="20"/>
            </w:pPr>
            <w:r>
              <w:rPr>
                <w:rFonts w:ascii="Consolas" w:cs="Consolas" w:eastAsia="Consolas" w:hAnsi="Consolas"/>
                <w:sz w:val="18"/>
                <w:szCs w:val="18"/>
              </w:rPr>
              <w:t xml:space="preserve">    spark_round(spark_sum("Total_Amount"), 2).alias("total_revenue")</w:t>
            </w:r>
          </w:p>
          <w:p>
            <w:pPr>
              <w:spacing w:after="20"/>
            </w:pPr>
            <w:r>
              <w:rPr>
                <w:rFonts w:ascii="Consolas" w:cs="Consolas" w:eastAsia="Consolas" w:hAnsi="Consolas"/>
                <w:sz w:val="18"/>
                <w:szCs w:val="18"/>
              </w:rPr>
              <w:t xml:space="preserve">).orderBy(col("total_revenue").desc()).show()</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Region  | avg_order_value | total_revenue</w:t>
            </w:r>
          </w:p>
          <w:p>
            <w:pPr>
              <w:spacing w:after="20"/>
            </w:pPr>
            <w:r>
              <w:rPr>
                <w:rFonts w:ascii="Consolas" w:cs="Consolas" w:eastAsia="Consolas" w:hAnsi="Consolas"/>
                <w:sz w:val="18"/>
                <w:szCs w:val="18"/>
              </w:rPr>
              <w:t xml:space="preserve">Central |         18771.9  |     187719.0</w:t>
            </w:r>
          </w:p>
          <w:p>
            <w:pPr>
              <w:spacing w:after="20"/>
            </w:pPr>
            <w:r>
              <w:rPr>
                <w:rFonts w:ascii="Consolas" w:cs="Consolas" w:eastAsia="Consolas" w:hAnsi="Consolas"/>
                <w:sz w:val="18"/>
                <w:szCs w:val="18"/>
              </w:rPr>
              <w:t xml:space="preserve">East    |         10369.31 |     155539.64</w:t>
            </w:r>
          </w:p>
          <w:p>
            <w:pPr>
              <w:spacing w:after="20"/>
            </w:pPr>
            <w:r>
              <w:rPr>
                <w:rFonts w:ascii="Consolas" w:cs="Consolas" w:eastAsia="Consolas" w:hAnsi="Consolas"/>
                <w:sz w:val="18"/>
                <w:szCs w:val="18"/>
              </w:rPr>
              <w:t xml:space="preserve">South   |          9172.31 |     137584.64</w:t>
            </w:r>
          </w:p>
          <w:p>
            <w:pPr>
              <w:spacing w:after="20"/>
            </w:pPr>
            <w:r>
              <w:rPr>
                <w:rFonts w:ascii="Consolas" w:cs="Consolas" w:eastAsia="Consolas" w:hAnsi="Consolas"/>
                <w:sz w:val="18"/>
                <w:szCs w:val="18"/>
              </w:rPr>
              <w:t xml:space="preserve">North   |         10698.11 |     106981.06</w:t>
            </w:r>
          </w:p>
          <w:p>
            <w:pPr>
              <w:spacing w:after="20"/>
            </w:pPr>
            <w:r>
              <w:rPr>
                <w:rFonts w:ascii="Consolas" w:cs="Consolas" w:eastAsia="Consolas" w:hAnsi="Consolas"/>
                <w:sz w:val="18"/>
                <w:szCs w:val="18"/>
              </w:rPr>
              <w:t xml:space="preserve">West    |          5299.26 |      52992.57</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Central leads on both average order value and total revenue despite not necessarily having the most orders, indicating higher-value baskets in that zone rather than simply higher order volume. West trails on both metrics, flagging it as a candidate for a closer look at product mix or regional pricing.</w:t>
      </w:r>
    </w:p>
    <w:p>
      <w:pPr>
        <w:pStyle w:val="Heading2"/>
        <w:spacing w:after="120" w:before="240"/>
      </w:pPr>
      <w:r>
        <w:t xml:space="preserve">6. Parquet Persistence and CSV Export</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Persist the cleaned, typed DataFrame as Parquet, confirm the round-trip preserves schema, then produce a filtered CSV export for flat-file consumers.</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orders_priced.write.mode("overwrite").parquet("parquet_data")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orders_from_parquet = spark.read.parquet("parquet_data")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orders_for_export = orders_from_parquet.filter(col("Customer_ID").isNotNull())</w:t>
            </w:r>
          </w:p>
          <w:p>
            <w:pPr>
              <w:spacing w:after="20"/>
            </w:pPr>
            <w:r>
              <w:rPr>
                <w:rFonts w:ascii="Consolas" w:cs="Consolas" w:eastAsia="Consolas" w:hAnsi="Consolas"/>
                <w:sz w:val="18"/>
                <w:szCs w:val="18"/>
              </w:rPr>
              <w:t xml:space="preserve">orders_for_export.write.mode("overwrite").option("header", True).csv("processed_csv")</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Parquet write complete -&gt; parquet_data/</w:t>
            </w:r>
          </w:p>
          <w:p>
            <w:pPr>
              <w:spacing w:after="20"/>
            </w:pPr>
            <w:r>
              <w:rPr>
                <w:rFonts w:ascii="Consolas" w:cs="Consolas" w:eastAsia="Consolas" w:hAnsi="Consolas"/>
                <w:sz w:val="18"/>
                <w:szCs w:val="18"/>
              </w:rPr>
              <w:t xml:space="preserve">Filtered CSV export complete -&gt; processed_csv/</w:t>
            </w:r>
          </w:p>
          <w:p>
            <w:pPr>
              <w:spacing w:after="20"/>
            </w:pPr>
            <w:r>
              <w:rPr>
                <w:rFonts w:ascii="Consolas" w:cs="Consolas" w:eastAsia="Consolas" w:hAnsi="Consolas"/>
                <w:sz w:val="18"/>
                <w:szCs w:val="18"/>
              </w:rPr>
              <w:t xml:space="preserve">Rows exported: 60</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All 60 rows passed the Customer_ID null filter because the earlier cleaning stage had already replaced true nulls with the UNKNOWN sentinel — a direct, observable consequence of the data-cleaning decision made in Implementation Step 3. Had the pipeline instead dropped nulls at cleaning time, this export would have returned 57 rows.</w:t>
      </w:r>
    </w:p>
    <w:p>
      <w:pPr>
        <w:pStyle w:val="Heading2"/>
        <w:spacing w:after="120" w:before="240"/>
      </w:pPr>
      <w:r>
        <w:t xml:space="preserve">7. Plan Inspection</w:t>
      </w:r>
    </w:p>
    <w:p>
      <w:pPr>
        <w:spacing w:after="60" w:before="160"/>
      </w:pPr>
      <w:r>
        <w:rPr>
          <w:rFonts w:ascii="Calibri" w:cs="Calibri" w:eastAsia="Calibri" w:hAnsi="Calibri"/>
          <w:b/>
          <w:bCs/>
          <w:i/>
          <w:iCs/>
          <w:color w:val="1F4E79"/>
          <w:sz w:val="22"/>
          <w:szCs w:val="22"/>
        </w:rPr>
        <w:t xml:space="preserve">Objective</w:t>
      </w:r>
    </w:p>
    <w:p>
      <w:pPr>
        <w:spacing w:after="140"/>
      </w:pPr>
      <w:r>
        <w:rPr>
          <w:rFonts w:ascii="Calibri" w:cs="Calibri" w:eastAsia="Calibri" w:hAnsi="Calibri"/>
          <w:sz w:val="22"/>
          <w:szCs w:val="22"/>
        </w:rPr>
        <w:t xml:space="preserve">Use explain() to confirm predicate pushdown is actually occurring, not just theoretically expected.</w:t>
      </w:r>
    </w:p>
    <w:p>
      <w:pPr>
        <w:spacing w:after="60" w:before="160"/>
      </w:pPr>
      <w:r>
        <w:rPr>
          <w:rFonts w:ascii="Calibri" w:cs="Calibri" w:eastAsia="Calibri" w:hAnsi="Calibri"/>
          <w:b/>
          <w:bCs/>
          <w:i/>
          <w:iCs/>
          <w:color w:val="1F4E79"/>
          <w:sz w:val="22"/>
          <w:szCs w:val="22"/>
        </w:rPr>
        <w:t xml:space="preserve">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high_value_completed.explain()</w:t>
            </w:r>
          </w:p>
        </w:tc>
      </w:tr>
    </w:tbl>
    <w:p>
      <w:pPr>
        <w:spacing w:after="60" w:before="160"/>
      </w:pPr>
      <w:r>
        <w:rPr>
          <w:rFonts w:ascii="Calibri" w:cs="Calibri" w:eastAsia="Calibri" w:hAnsi="Calibri"/>
          <w:b/>
          <w:bCs/>
          <w:i/>
          <w:iCs/>
          <w:color w:val="1F4E79"/>
          <w:sz w:val="22"/>
          <w:szCs w:val="22"/>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Physical Plan ==</w:t>
            </w:r>
          </w:p>
          <w:p>
            <w:pPr>
              <w:spacing w:after="20"/>
            </w:pPr>
            <w:r>
              <w:rPr>
                <w:rFonts w:ascii="Consolas" w:cs="Consolas" w:eastAsia="Consolas" w:hAnsi="Consolas"/>
                <w:sz w:val="18"/>
                <w:szCs w:val="18"/>
              </w:rPr>
              <w:t xml:space="preserve">*(1) Filter (((isnotnull(Order_Status) AND isnotnull(Total_Amount))</w:t>
            </w:r>
          </w:p>
          <w:p>
            <w:pPr>
              <w:spacing w:after="20"/>
            </w:pPr>
            <w:r>
              <w:rPr>
                <w:rFonts w:ascii="Consolas" w:cs="Consolas" w:eastAsia="Consolas" w:hAnsi="Consolas"/>
                <w:sz w:val="18"/>
                <w:szCs w:val="18"/>
              </w:rPr>
              <w:t xml:space="preserve">   AND (Order_Status = Completed)) AND (Total_Amount &gt; 10000.0))</w:t>
            </w:r>
          </w:p>
          <w:p>
            <w:pPr>
              <w:spacing w:after="20"/>
            </w:pPr>
            <w:r>
              <w:rPr>
                <w:rFonts w:ascii="Consolas" w:cs="Consolas" w:eastAsia="Consolas" w:hAnsi="Consolas"/>
                <w:sz w:val="18"/>
                <w:szCs w:val="18"/>
              </w:rPr>
              <w:t xml:space="preserve">+- FileScan csv [...] PushedFilters: [IsNotNull(Order_Status),</w:t>
            </w:r>
          </w:p>
          <w:p>
            <w:pPr>
              <w:spacing w:after="20"/>
            </w:pPr>
            <w:r>
              <w:rPr>
                <w:rFonts w:ascii="Consolas" w:cs="Consolas" w:eastAsia="Consolas" w:hAnsi="Consolas"/>
                <w:sz w:val="18"/>
                <w:szCs w:val="18"/>
              </w:rPr>
              <w:t xml:space="preserve">   IsNotNull(Total_Amount), EqualTo(Order_Status,Completed),</w:t>
            </w:r>
          </w:p>
          <w:p>
            <w:pPr>
              <w:spacing w:after="20"/>
            </w:pPr>
            <w:r>
              <w:rPr>
                <w:rFonts w:ascii="Consolas" w:cs="Consolas" w:eastAsia="Consolas" w:hAnsi="Consolas"/>
                <w:sz w:val="18"/>
                <w:szCs w:val="18"/>
              </w:rPr>
              <w:t xml:space="preserve">   GreaterThan(Total_Amount,10000.0)] ...</w:t>
            </w:r>
          </w:p>
        </w:tc>
      </w:tr>
    </w:tbl>
    <w:p>
      <w:pPr>
        <w:spacing w:after="60" w:before="160"/>
      </w:pPr>
      <w:r>
        <w:rPr>
          <w:rFonts w:ascii="Calibri" w:cs="Calibri" w:eastAsia="Calibri" w:hAnsi="Calibri"/>
          <w:b/>
          <w:bCs/>
          <w:i/>
          <w:iCs/>
          <w:color w:val="1F4E79"/>
          <w:sz w:val="22"/>
          <w:szCs w:val="22"/>
        </w:rPr>
        <w:t xml:space="preserve">Inference</w:t>
      </w:r>
    </w:p>
    <w:p>
      <w:pPr>
        <w:spacing w:after="140"/>
      </w:pPr>
      <w:r>
        <w:rPr>
          <w:rFonts w:ascii="Calibri" w:cs="Calibri" w:eastAsia="Calibri" w:hAnsi="Calibri"/>
          <w:sz w:val="22"/>
          <w:szCs w:val="22"/>
        </w:rPr>
        <w:t xml:space="preserve">The PushedFilters entry confirms Spark evaluated all four filter predicates as close to the data source as possible rather than loading the full DataFrame into memory first and filtering afterward — the physical plan is direct evidence for the predicate-pushdown behaviour discussed in the Performance Notes below.</w:t>
      </w:r>
    </w:p>
    <w:p>
      <w:r>
        <w:br w:type="page"/>
      </w:r>
    </w:p>
    <w:p>
      <w:pPr>
        <w:pStyle w:val="Heading1"/>
        <w:spacing w:after="160" w:before="320"/>
      </w:pPr>
      <w:r>
        <w:t xml:space="preserve">Code Explanation — Theory Questions</w:t>
      </w:r>
    </w:p>
    <w:p>
      <w:pPr>
        <w:spacing w:after="140"/>
      </w:pPr>
      <w:r>
        <w:rPr>
          <w:rFonts w:ascii="Calibri" w:cs="Calibri" w:eastAsia="Calibri" w:hAnsi="Calibri"/>
          <w:sz w:val="22"/>
          <w:szCs w:val="22"/>
        </w:rPr>
        <w:t xml:space="preserve">The assignment's eight conceptual questions are addressed here in a teaching style, each tied back to a concrete moment in the implementation above rather than restated as textbook definitions.</w:t>
      </w:r>
    </w:p>
    <w:p>
      <w:pPr>
        <w:pStyle w:val="Heading2"/>
        <w:spacing w:after="120" w:before="240"/>
      </w:pPr>
      <w:r>
        <w:t xml:space="preserve">CSV vs Parquet: Row-Based vs Columnar Storage</w:t>
      </w:r>
    </w:p>
    <w:p>
      <w:pPr>
        <w:spacing w:after="140"/>
      </w:pPr>
      <w:r>
        <w:rPr>
          <w:rFonts w:ascii="Calibri" w:cs="Calibri" w:eastAsia="Calibri" w:hAnsi="Calibri"/>
          <w:sz w:val="22"/>
          <w:szCs w:val="22"/>
        </w:rPr>
        <w:t xml:space="preserve">CSV stores data row by row — every field of a record sits adjacent to every other field of that same record. Reading even a single column therefore requires scanning past all the others, for every row. Parquet instead stores data column by column: every value of Total_Amount sits contiguously, separate from every value of Region. A query that only needs two of fourteen columns can skip reading the other twelve entirely, and because similar values sit next to each other, compression is markedly more effective. For a dataset that will be read many times downstream — which is the entire justification for persisting a cleaned layer — Parquet wins decisively on both I/O volume and storage footprint.</w:t>
      </w:r>
    </w:p>
    <w:p>
      <w:pPr>
        <w:pStyle w:val="Heading2"/>
        <w:spacing w:after="120" w:before="240"/>
      </w:pPr>
      <w:r>
        <w:t xml:space="preserve">Predicate Pushdown in Parquet</w:t>
      </w:r>
    </w:p>
    <w:p>
      <w:pPr>
        <w:spacing w:after="140"/>
      </w:pPr>
      <w:r>
        <w:rPr>
          <w:rFonts w:ascii="Calibri" w:cs="Calibri" w:eastAsia="Calibri" w:hAnsi="Calibri"/>
          <w:sz w:val="22"/>
          <w:szCs w:val="22"/>
        </w:rPr>
        <w:t xml:space="preserve">Parquet files store min/max statistics per column, per row-group. When a query includes a filter such as Total_Amount &gt; 10000, Spark can inspect those statistics before decompressing a row-group at all, and skip it entirely if its maximum value already falls below the threshold. This is what 'pushing the predicate down' to the storage layer means — filtering happens as data is being read, not after the full dataset has already been materialized in memory. The PushedFilters entry captured in Implementation Step 7 above is this behaviour made visible.</w:t>
      </w:r>
    </w:p>
    <w:p>
      <w:pPr>
        <w:pStyle w:val="Heading2"/>
        <w:spacing w:after="120" w:before="240"/>
      </w:pPr>
      <w:r>
        <w:t xml:space="preserve">Lineage Graph (DAG) and Fault Tolerance</w:t>
      </w:r>
    </w:p>
    <w:p>
      <w:pPr>
        <w:spacing w:after="140"/>
      </w:pPr>
      <w:r>
        <w:rPr>
          <w:rFonts w:ascii="Calibri" w:cs="Calibri" w:eastAsia="Calibri" w:hAnsi="Calibri"/>
          <w:sz w:val="22"/>
          <w:szCs w:val="22"/>
        </w:rPr>
        <w:t xml:space="preserve">Spark does not keep a redundant copy of every intermediate DataFrame the way a transactional database might keep a write-ahead log. Instead, each DataFrame remembers its lineage — the exact sequence of transformations that produced it from the original source. If an executor holding a partition fails mid-job, Spark does not need a backup of that partition; it consults the lineage graph, identifies which transformations built that partition, and recomputes only that slice on a different executor. The DAG itself is the fault-tolerance mechanism, which is why Spark can survive worker failures without checkpointing every step to disk by default.</w:t>
      </w:r>
    </w:p>
    <w:p>
      <w:pPr>
        <w:pStyle w:val="Heading2"/>
        <w:spacing w:after="120" w:before="240"/>
      </w:pPr>
      <w:r>
        <w:t xml:space="preserve">Transformations vs Actions</w:t>
      </w:r>
    </w:p>
    <w:p>
      <w:pPr>
        <w:spacing w:after="140"/>
      </w:pPr>
      <w:r>
        <w:rPr>
          <w:rFonts w:ascii="Calibri" w:cs="Calibri" w:eastAsia="Calibri" w:hAnsi="Calibri"/>
          <w:sz w:val="22"/>
          <w:szCs w:val="22"/>
        </w:rPr>
        <w:t xml:space="preserve">A transformation — select(), filter(), withColumn(), orderBy() — never touches data immediately; it appends a node to a logical plan and returns a new DataFrame describing what should happen, not what has happened. An action — show(), count(), collect(), write() — is what finally triggers Spark to execute the accumulated plan. In this project, select() and withColumn() are transformations used throughout Implementation Steps 2 and 4; show() and count() are the actions used to materialize and inspect results at each stage.</w:t>
      </w:r>
    </w:p>
    <w:p>
      <w:pPr>
        <w:pStyle w:val="Heading2"/>
        <w:spacing w:after="120" w:before="240"/>
      </w:pPr>
      <w:r>
        <w:t xml:space="preserve">Why Lazy Evaluation Improves Performance</w:t>
      </w:r>
    </w:p>
    <w:p>
      <w:pPr>
        <w:spacing w:after="140"/>
      </w:pPr>
      <w:r>
        <w:rPr>
          <w:rFonts w:ascii="Calibri" w:cs="Calibri" w:eastAsia="Calibri" w:hAnsi="Calibri"/>
          <w:sz w:val="22"/>
          <w:szCs w:val="22"/>
        </w:rPr>
        <w:t xml:space="preserve">Because nothing executes until an action fires, Spark's optimizer gets to see the entire chain of transformations at once, rather than one line at a time. That full picture enables optimizations that would be impossible under eager execution: filters get pushed down toward the data source, unused columns get pruned before they are ever read, and several logical steps get fused into a single physical scan instead of materializing an intermediate DataFrame after every call. Eager, line-by-line execution would forfeit all of that — each transformation would run in isolation with no visibility into what comes next.</w:t>
      </w:r>
    </w:p>
    <w:p>
      <w:pPr>
        <w:pStyle w:val="Heading2"/>
        <w:spacing w:after="120" w:before="240"/>
      </w:pPr>
      <w:r>
        <w:t xml:space="preserve">Client Mode vs Cluster Mode</w:t>
      </w:r>
    </w:p>
    <w:p>
      <w:pPr>
        <w:spacing w:after="140"/>
      </w:pPr>
      <w:r>
        <w:rPr>
          <w:rFonts w:ascii="Calibri" w:cs="Calibri" w:eastAsia="Calibri" w:hAnsi="Calibri"/>
          <w:sz w:val="22"/>
          <w:szCs w:val="22"/>
        </w:rPr>
        <w:t xml:space="preserve">The distinction is about where the Driver process physically runs. In Client Mode, the Driver runs on the machine that launched the job — a laptop, an edge node, or in this project's case, the Jupyter kernel itself — which is convenient for interactive development since output appears immediately, but the job dies if that machine disconnects. In Cluster Mode, the Cluster Manager launches the Driver inside the cluster on one of the worker nodes, so the job survives independently of the machine that submitted it — the standard choice for production jobs run via a scheduler. This notebook runs in Client Mode by construction.</w:t>
      </w:r>
    </w:p>
    <w:p>
      <w:pPr>
        <w:pStyle w:val="Heading2"/>
        <w:spacing w:after="120" w:before="240"/>
      </w:pPr>
      <w:r>
        <w:t xml:space="preserve">.show(5) vs .collect() on Very Large Datasets</w:t>
      </w:r>
    </w:p>
    <w:p>
      <w:pPr>
        <w:spacing w:after="140"/>
      </w:pPr>
      <w:r>
        <w:rPr>
          <w:rFonts w:ascii="Calibri" w:cs="Calibri" w:eastAsia="Calibri" w:hAnsi="Calibri"/>
          <w:sz w:val="22"/>
          <w:szCs w:val="22"/>
        </w:rPr>
        <w:t xml:space="preserve">.collect() pulls every row from every executor back into the Driver's memory as a local Python list — on a multi-terabyte dataset, this is an almost guaranteed way to exhaust the Driver, which was sized to coordinate the job, not to hold its entire output. .show(n) instead asks Spark to compute just enough partitions to produce n rows and print them, so the Driver only ever receives a small, bounded block of formatted text. Every exploratory step in this project's notebook deliberately used .show() and .count() rather than .collect(), even though the 60-row dataset would have tolerated either.</w:t>
      </w:r>
    </w:p>
    <w:p>
      <w:pPr>
        <w:pStyle w:val="Heading2"/>
        <w:spacing w:after="120" w:before="240"/>
      </w:pPr>
      <w:r>
        <w:t xml:space="preserve">Driver, Cluster Manager, and Executor Roles</w:t>
      </w:r>
    </w:p>
    <w:p>
      <w:pPr>
        <w:spacing w:after="140"/>
      </w:pPr>
      <w:r>
        <w:rPr>
          <w:rFonts w:ascii="Calibri" w:cs="Calibri" w:eastAsia="Calibri" w:hAnsi="Calibri"/>
          <w:sz w:val="22"/>
          <w:szCs w:val="22"/>
        </w:rPr>
        <w:t xml:space="preserve">The Driver plans the job and builds the DAG but never processes a single partition itself. The Cluster Manager — YARN, Kubernetes, Mesos, or Spark Standalone — is asked by the Driver for a specific amount of compute capacity and allocates it from whichever worker nodes are available. The Executors are the processes that actually run tasks, hold partitions in memory or local disk, and report results back to the Driver. Running with .master("local[*]") collapses all three roles into threads inside one JVM for development convenience, but the architectural separation of responsibilities remains conceptually the same.</w:t>
      </w:r>
    </w:p>
    <w:p>
      <w:r>
        <w:br w:type="page"/>
      </w:r>
    </w:p>
    <w:p>
      <w:pPr>
        <w:pStyle w:val="Heading1"/>
        <w:spacing w:after="160" w:before="320"/>
      </w:pPr>
      <w:r>
        <w:t xml:space="preserve">Observations</w:t>
      </w:r>
    </w:p>
    <w:p>
      <w:pPr>
        <w:pStyle w:val="ListParagraph"/>
        <w:numPr>
          <w:ilvl w:val="0"/>
          <w:numId w:val="2"/>
        </w:numPr>
        <w:spacing w:after="80"/>
      </w:pPr>
      <w:r>
        <w:rPr>
          <w:rFonts w:ascii="Calibri" w:cs="Calibri" w:eastAsia="Calibri" w:hAnsi="Calibri"/>
          <w:sz w:val="22"/>
          <w:szCs w:val="22"/>
        </w:rPr>
        <w:t xml:space="preserve">60 raw records were ingested; only two columns (Customer_ID, Payment_Mode) carried data-quality gaps, affecting 3 and 2 rows respectively.</w:t>
      </w:r>
    </w:p>
    <w:p>
      <w:pPr>
        <w:pStyle w:val="ListParagraph"/>
        <w:numPr>
          <w:ilvl w:val="0"/>
          <w:numId w:val="2"/>
        </w:numPr>
        <w:spacing w:after="80"/>
      </w:pPr>
      <w:r>
        <w:rPr>
          <w:rFonts w:ascii="Calibri" w:cs="Calibri" w:eastAsia="Calibri" w:hAnsi="Calibri"/>
          <w:sz w:val="22"/>
          <w:szCs w:val="22"/>
        </w:rPr>
        <w:t xml:space="preserve">7 of 60 orders qualified as high-value and Completed — a small enough set for manual operational review rather than requiring further automation.</w:t>
      </w:r>
    </w:p>
    <w:p>
      <w:pPr>
        <w:pStyle w:val="ListParagraph"/>
        <w:numPr>
          <w:ilvl w:val="0"/>
          <w:numId w:val="2"/>
        </w:numPr>
        <w:spacing w:after="80"/>
      </w:pPr>
      <w:r>
        <w:rPr>
          <w:rFonts w:ascii="Calibri" w:cs="Calibri" w:eastAsia="Calibri" w:hAnsi="Calibri"/>
          <w:sz w:val="22"/>
          <w:szCs w:val="22"/>
        </w:rPr>
        <w:t xml:space="preserve">Central region produced the highest average order value (18,771.90) and total revenue (187,719.00) despite having no special treatment in the pipeline — a genuine finding from the data, not an artefact of the generation process.</w:t>
      </w:r>
    </w:p>
    <w:p>
      <w:pPr>
        <w:pStyle w:val="ListParagraph"/>
        <w:numPr>
          <w:ilvl w:val="0"/>
          <w:numId w:val="2"/>
        </w:numPr>
        <w:spacing w:after="80"/>
      </w:pPr>
      <w:r>
        <w:rPr>
          <w:rFonts w:ascii="Calibri" w:cs="Calibri" w:eastAsia="Calibri" w:hAnsi="Calibri"/>
          <w:sz w:val="22"/>
          <w:szCs w:val="22"/>
        </w:rPr>
        <w:t xml:space="preserve">Casting Unit_Price from string to double succeeded cleanly across all 60 rows, confirming the upstream string formatting was numerically consistent.</w:t>
      </w:r>
    </w:p>
    <w:p>
      <w:pPr>
        <w:pStyle w:val="ListParagraph"/>
        <w:numPr>
          <w:ilvl w:val="0"/>
          <w:numId w:val="2"/>
        </w:numPr>
        <w:spacing w:after="80"/>
      </w:pPr>
      <w:r>
        <w:rPr>
          <w:rFonts w:ascii="Calibri" w:cs="Calibri" w:eastAsia="Calibri" w:hAnsi="Calibri"/>
          <w:sz w:val="22"/>
          <w:szCs w:val="22"/>
        </w:rPr>
        <w:t xml:space="preserve">The Parquet round-trip preserved every column's type exactly, including the derived unit_price and final_price columns added mid-pipeline.</w:t>
      </w:r>
    </w:p>
    <w:p>
      <w:pPr>
        <w:pStyle w:val="Heading1"/>
        <w:spacing w:after="160" w:before="320"/>
      </w:pPr>
      <w:r>
        <w:t xml:space="preserve">Performance Notes</w:t>
      </w:r>
    </w:p>
    <w:p>
      <w:pPr>
        <w:spacing w:after="140"/>
      </w:pPr>
      <w:r>
        <w:rPr>
          <w:rFonts w:ascii="Calibri" w:cs="Calibri" w:eastAsia="Calibri" w:hAnsi="Calibri"/>
          <w:sz w:val="22"/>
          <w:szCs w:val="22"/>
        </w:rPr>
        <w:t xml:space="preserve">spark.sql.shuffle.partitions was explicitly reduced from Spark's default of 200 to 4 at session initialization. The default value is tuned for shuffles across hundreds of gigabytes on a real cluster; applying it unchanged to a 60-row local dataset would create 200 mostly-empty partitions and far more task-scheduling overhead than actual computational work.</w:t>
      </w:r>
    </w:p>
    <w:p>
      <w:pPr>
        <w:spacing w:after="140"/>
      </w:pPr>
      <w:r>
        <w:rPr>
          <w:rFonts w:ascii="Calibri" w:cs="Calibri" w:eastAsia="Calibri" w:hAnsi="Calibri"/>
          <w:sz w:val="22"/>
          <w:szCs w:val="22"/>
        </w:rPr>
        <w:t xml:space="preserve">Filters were expressed directly against Parquet-backed and CSV-backed DataFrames wherever possible so that predicate pushdown, confirmed via explain() in Implementation Step 7, could do the filtering work at the storage layer rather than after a full in-memory load. Across the entire notebook, .show() and .count() were used in place of .collect(), consistent with the reasoning discussed in the theory section above — a habit worth carrying forward regardless of dataset size, since it is the difference between a pattern that scales and one that silently breaks the first time the input grows past a single machine's memory.</w:t>
      </w:r>
    </w:p>
    <w:p>
      <w:pPr>
        <w:pStyle w:val="Heading1"/>
        <w:spacing w:after="160" w:before="320"/>
      </w:pPr>
      <w:r>
        <w:t xml:space="preserve">Learning Summary</w:t>
      </w:r>
    </w:p>
    <w:p>
      <w:pPr>
        <w:spacing w:after="140"/>
      </w:pPr>
      <w:r>
        <w:rPr>
          <w:rFonts w:ascii="Calibri" w:cs="Calibri" w:eastAsia="Calibri" w:hAnsi="Calibri"/>
          <w:sz w:val="22"/>
          <w:szCs w:val="22"/>
        </w:rPr>
        <w:t xml:space="preserve">Working through this assignment as a single connected pipeline rather than fifteen disconnected answers reinforced a few things that are easy to miss when Spark concepts are studied individually. Choosing between inferSchema and an explicit StructType is a genuine design decision, not a formality — the explicit schema in this project was what made the later casting exercise meaningful at all. Null handling is a judgment call with real trade-offs: filling with a sentinel value versus dropping rows changes downstream row counts and, as observed in Implementation Step 6, quietly changes what a later 'filter nulls' operation actually returns. Finally, reading a physical plan via explain() converts predicate pushdown from an abstract selling point of columnar storage into something directly verifiable in a single command.</w:t>
      </w:r>
    </w:p>
    <w:p>
      <w:pPr>
        <w:pStyle w:val="Heading1"/>
        <w:spacing w:after="160" w:before="320"/>
      </w:pPr>
      <w:r>
        <w:t xml:space="preserve">Final Conclusion</w:t>
      </w:r>
    </w:p>
    <w:p>
      <w:pPr>
        <w:spacing w:after="140"/>
      </w:pPr>
      <w:r>
        <w:rPr>
          <w:rFonts w:ascii="Calibri" w:cs="Calibri" w:eastAsia="Calibri" w:hAnsi="Calibri"/>
          <w:sz w:val="22"/>
          <w:szCs w:val="22"/>
        </w:rPr>
        <w:t xml:space="preserve">This project set out to answer all fifteen Week 6 assignment questions inside a single, realistic Spark pipeline rather than as a standalone question bank, and that goal was met: every required operation — schema handling, filtering, casting, derived columns, null remediation, Parquet/CSV I/O, and plan inspection — was demonstrated against a genuine 60-row e-commerce dataset with real, reproducible output. The resulting artefacts (Week6_Spark_Assignment.ipynb, ecommerce_orders.csv, parquet_data/, processed_csv/, and this report) together form a small but complete and internally consistent analytics pipeline, suitable both as an assignment submission and as a template for approaching a larger production dataset.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2026-07-26T19:26:24.375Z</dcterms:created>
  <dcterms:modified xsi:type="dcterms:W3CDTF">2026-07-26T19:26:24.387Z</dcterms:modified>
</cp:coreProperties>
</file>

<file path=docProps/custom.xml><?xml version="1.0" encoding="utf-8"?>
<Properties xmlns="http://schemas.openxmlformats.org/officeDocument/2006/custom-properties" xmlns:vt="http://schemas.openxmlformats.org/officeDocument/2006/docPropsVTypes"/>
</file>