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4"/>
        </w:rPr>
        <w:t>AgriSeva-AI: An Autonomous Agentic Framework with Multi-Tier Knowledge Grounding, Model Context Protocol Microservices, and Human-in-the-Loop Validation for Multilingual Agricultural Advisory</w:t>
      </w:r>
    </w:p>
    <w:tbl>
      <w:tblPr>
        <w:tblW w:type="auto" w:w="0"/>
        <w:jc w:val="center"/>
        <w:tblLayout w:type="fixed"/>
        <w:tblLook w:firstColumn="1" w:firstRow="1" w:lastColumn="0" w:lastRow="0" w:noHBand="0" w:noVBand="1" w:val="04A0"/>
      </w:tblPr>
      <w:tblGrid>
        <w:gridCol w:w="3360"/>
        <w:gridCol w:w="3360"/>
        <w:gridCol w:w="3360"/>
      </w:tblGrid>
      <w:tr>
        <w:tc>
          <w:tcPr>
            <w:tcW w:type="dxa" w:w="3360"/>
            <w:tcMar>
              <w:top w:w="40" w:type="dxa"/>
              <w:bottom w:w="40" w:type="dxa"/>
              <w:left w:w="40" w:type="dxa"/>
              <w:right w:w="40" w:type="dxa"/>
            </w:tcMar>
          </w:tcPr>
          <w:p>
            <w:pPr>
              <w:spacing w:before="0" w:after="40"/>
              <w:jc w:val="center"/>
            </w:pPr>
            <w:r>
              <w:rPr>
                <w:rFonts w:ascii="Times New Roman" w:hAnsi="Times New Roman"/>
                <w:b/>
                <w:sz w:val="19"/>
              </w:rPr>
              <w:t>Nikhil Sai Kenguri</w:t>
              <w:br/>
            </w:r>
            <w:r>
              <w:rPr>
                <w:rFonts w:ascii="Times New Roman" w:hAnsi="Times New Roman"/>
                <w:i/>
                <w:sz w:val="16"/>
              </w:rPr>
              <w:t>Dept. of Computer Science and Engineering</w:t>
              <w:br/>
              <w:t>Kalasalingam Academy of Research and Education</w:t>
              <w:br/>
              <w:t>Tamil Nadu, India</w:t>
              <w:br/>
              <w:t>99240040748@klu.ac.in</w:t>
            </w:r>
          </w:p>
        </w:tc>
        <w:tc>
          <w:tcPr>
            <w:tcW w:type="dxa" w:w="3360"/>
            <w:tcMar>
              <w:top w:w="40" w:type="dxa"/>
              <w:bottom w:w="40" w:type="dxa"/>
              <w:left w:w="40" w:type="dxa"/>
              <w:right w:w="40" w:type="dxa"/>
            </w:tcMar>
          </w:tcPr>
          <w:p>
            <w:pPr>
              <w:spacing w:before="0" w:after="40"/>
              <w:jc w:val="center"/>
            </w:pPr>
            <w:r>
              <w:rPr>
                <w:rFonts w:ascii="Times New Roman" w:hAnsi="Times New Roman"/>
                <w:b/>
                <w:sz w:val="19"/>
              </w:rPr>
              <w:t>Sakthivel Sankaran</w:t>
              <w:br/>
            </w:r>
            <w:r>
              <w:rPr>
                <w:rFonts w:ascii="Times New Roman" w:hAnsi="Times New Roman"/>
                <w:i/>
                <w:sz w:val="16"/>
              </w:rPr>
              <w:t>Dept. of Biomedical Engineering</w:t>
              <w:br/>
              <w:t>Kalasalingam Academy of Research and Education</w:t>
              <w:br/>
              <w:t>Tamil Nadu, India</w:t>
              <w:br/>
              <w:t>sakthivel@klu.ac.in</w:t>
            </w:r>
          </w:p>
        </w:tc>
        <w:tc>
          <w:tcPr>
            <w:tcW w:type="dxa" w:w="3360"/>
            <w:tcMar>
              <w:top w:w="40" w:type="dxa"/>
              <w:bottom w:w="40" w:type="dxa"/>
              <w:left w:w="40" w:type="dxa"/>
              <w:right w:w="40" w:type="dxa"/>
            </w:tcMar>
          </w:tcPr>
          <w:p>
            <w:pPr>
              <w:spacing w:before="0" w:after="40"/>
              <w:jc w:val="center"/>
            </w:pPr>
            <w:r>
              <w:rPr>
                <w:rFonts w:ascii="Times New Roman" w:hAnsi="Times New Roman"/>
                <w:b/>
                <w:sz w:val="19"/>
              </w:rPr>
              <w:t>Kowshik Kumar Reddy Yeemireddy</w:t>
              <w:br/>
            </w:r>
            <w:r>
              <w:rPr>
                <w:rFonts w:ascii="Times New Roman" w:hAnsi="Times New Roman"/>
                <w:i/>
                <w:sz w:val="16"/>
              </w:rPr>
              <w:t>Dept. of Computer Science and Engineering</w:t>
              <w:br/>
              <w:t>Kalasalingam Academy of Research and Education</w:t>
              <w:br/>
              <w:t>Tamil Nadu, India</w:t>
              <w:br/>
              <w:t>99240040758@klu.ac.in</w:t>
            </w:r>
          </w:p>
        </w:tc>
      </w:tr>
      <w:tr>
        <w:tc>
          <w:tcPr>
            <w:tcW w:type="dxa" w:w="3360"/>
            <w:tcMar>
              <w:top w:w="40" w:type="dxa"/>
              <w:bottom w:w="40" w:type="dxa"/>
              <w:left w:w="40" w:type="dxa"/>
              <w:right w:w="40" w:type="dxa"/>
            </w:tcMar>
          </w:tcPr>
          <w:p>
            <w:pPr>
              <w:spacing w:before="0" w:after="40"/>
              <w:jc w:val="center"/>
            </w:pPr>
            <w:r>
              <w:rPr>
                <w:rFonts w:ascii="Times New Roman" w:hAnsi="Times New Roman"/>
                <w:b/>
                <w:sz w:val="19"/>
              </w:rPr>
              <w:t>Thilak Thammali</w:t>
              <w:br/>
            </w:r>
            <w:r>
              <w:rPr>
                <w:rFonts w:ascii="Times New Roman" w:hAnsi="Times New Roman"/>
                <w:i/>
                <w:sz w:val="16"/>
              </w:rPr>
              <w:t>Dept. of Electronics and Communication Engineering</w:t>
              <w:br/>
              <w:t>Kalasalingam Academy of Research and Education</w:t>
              <w:br/>
              <w:t>Tamil Nadu, India</w:t>
              <w:br/>
              <w:t>9924005117@klu.ac.in</w:t>
            </w:r>
          </w:p>
        </w:tc>
        <w:tc>
          <w:tcPr>
            <w:tcW w:type="dxa" w:w="3360"/>
            <w:tcMar>
              <w:top w:w="40" w:type="dxa"/>
              <w:bottom w:w="40" w:type="dxa"/>
              <w:left w:w="40" w:type="dxa"/>
              <w:right w:w="40" w:type="dxa"/>
            </w:tcMar>
          </w:tcPr>
          <w:p>
            <w:pPr>
              <w:spacing w:before="0" w:after="40"/>
              <w:jc w:val="center"/>
            </w:pPr>
            <w:r>
              <w:rPr>
                <w:rFonts w:ascii="Times New Roman" w:hAnsi="Times New Roman"/>
                <w:b/>
                <w:sz w:val="19"/>
              </w:rPr>
              <w:t>Shanbu Sundar Reddy Kasireddy</w:t>
              <w:br/>
            </w:r>
            <w:r>
              <w:rPr>
                <w:rFonts w:ascii="Times New Roman" w:hAnsi="Times New Roman"/>
                <w:i/>
                <w:sz w:val="16"/>
              </w:rPr>
              <w:t>Dept. of Computer Science and Engineering</w:t>
              <w:br/>
              <w:t>Kalasalingam Academy of Research and Education</w:t>
              <w:br/>
              <w:t>Tamil Nadu, India</w:t>
              <w:br/>
              <w:t>99240040550@klu.ac.in</w:t>
            </w:r>
          </w:p>
        </w:tc>
        <w:tc>
          <w:tcPr>
            <w:tcW w:type="dxa" w:w="3360"/>
            <w:tcMar>
              <w:top w:w="40" w:type="dxa"/>
              <w:bottom w:w="40" w:type="dxa"/>
              <w:left w:w="40" w:type="dxa"/>
              <w:right w:w="40" w:type="dxa"/>
            </w:tcMar>
          </w:tcPr>
          <w:p>
            <w:pPr>
              <w:spacing w:before="0" w:after="40"/>
              <w:jc w:val="center"/>
            </w:pPr>
          </w:p>
        </w:tc>
      </w:tr>
    </w:tbl>
    <w:p>
      <w:pPr>
        <w:spacing w:before="80" w:after="120"/>
      </w:pPr>
    </w:p>
    <w:p>
      <w:pPr>
        <w:spacing w:after="80" w:line="252" w:lineRule="auto"/>
        <w:ind w:left="432" w:right="432"/>
        <w:jc w:val="both"/>
      </w:pPr>
      <w:r>
        <w:rPr>
          <w:rFonts w:ascii="Times New Roman" w:hAnsi="Times New Roman"/>
          <w:b/>
          <w:i/>
          <w:sz w:val="18"/>
        </w:rPr>
        <w:t>Abstract—</w:t>
      </w:r>
      <w:r>
        <w:rPr>
          <w:rFonts w:ascii="Times New Roman" w:hAnsi="Times New Roman"/>
          <w:i/>
          <w:sz w:val="18"/>
        </w:rPr>
        <w:t>Smallholder farmers in developing agrarian economies face persistent barriers to actionable agro-advisory, including severe linguistic fragmentation, illiteracy, time-lagged physical extension networks, and unverified digital recommendations. While Large Language Models (LLMs) offer conversational flexibility, their standalone deployment in agronomy is severely constrained by hallucinations, absence of real-time hyper-local grounding, lack of domain safety mechanisms against hazardous agrochemicals, and black-box unreliability. To resolve these challenges, this paper presents AgriSeva-AI, an autonomous agentic agricultural advisory and market intelligence platform. AgriSeva-AI implements a hierarchical Supervisor-Subagent orchestration graph constructed with LangGraph and Python FastAPI, coordinated via a stateful planner that decouples query reasoning from domain execution. Knowledge retrieval follows a three-tier grounding hierarchy: first searching an expert-curated Golden Dataset indexed via dense vector embeddings (BAAI/bge-large-en-v1.5) and full-text search in MongoDB Atlas Vector Search; secondly querying verified Krishi Vigyan Kendra (KVK) Package-of-Practices (PoP); and thirdly falling back to LLM synthesis guided by domain-specific Model Context Protocol (MCP) microservices. The architecture integrates eleven isolated FastMCP servers providing live ground-truth from the India Meteorological Department (IMD), Agmarknet and eNAM mandi portals, DAC Soil Health Card GraphQL endpoints, MyScheme public registries, and CIBRC banned chemical registries. A bidirectional human-in-the-loop (HITL) pipeline routes every synthesized response to an asynchronous Project Agricultural Expert (PAE) triage console for continuous validation and dataset expansion. System evaluation utilizing DeepEval metrics across benchmark agricultural query domains demonstrates robust performance, while backend resilience testing verifies zero regressions across 239 automated test suites. AgriSeva-AI bridges the critical gap between conversational generative AI and certified agricultural governance.</w:t>
      </w:r>
    </w:p>
    <w:p>
      <w:pPr>
        <w:spacing w:after="240"/>
        <w:ind w:left="432" w:right="432"/>
        <w:jc w:val="both"/>
      </w:pPr>
      <w:r>
        <w:rPr>
          <w:rFonts w:ascii="Times New Roman" w:hAnsi="Times New Roman"/>
          <w:b/>
          <w:i/>
          <w:sz w:val="18"/>
        </w:rPr>
        <w:t>Keywords—</w:t>
      </w:r>
      <w:r>
        <w:rPr>
          <w:rFonts w:ascii="Times New Roman" w:hAnsi="Times New Roman"/>
          <w:sz w:val="18"/>
        </w:rPr>
        <w:t>Agricultural Advisory System, Retrieval-Augmented Generation (RAG), Model Context Protocol (MCP), Multi-Agent Orchestration, LangGraph, Multilingual Natural Language Processing, Human-in-the-Loop, Agmarknet Market Intelligence.</w:t>
      </w:r>
    </w:p>
    <w:p>
      <w:pPr>
        <w:spacing w:before="240" w:after="80"/>
        <w:jc w:val="center"/>
      </w:pPr>
      <w:r>
        <w:rPr>
          <w:rFonts w:ascii="Times New Roman" w:hAnsi="Times New Roman"/>
          <w:b/>
          <w:sz w:val="22"/>
        </w:rPr>
        <w:t>I. INTRODUCTION</w:t>
      </w:r>
    </w:p>
    <w:p>
      <w:pPr>
        <w:spacing w:after="80" w:before="0" w:line="252" w:lineRule="auto"/>
        <w:jc w:val="both"/>
      </w:pPr>
      <w:r>
        <w:rPr>
          <w:rFonts w:ascii="Times New Roman" w:hAnsi="Times New Roman"/>
          <w:b w:val="0"/>
          <w:i w:val="0"/>
          <w:sz w:val="20"/>
        </w:rPr>
        <w:t>Agriculture sustains more than 58% of rural livelihoods across India and accounts for a substantial share of national gross value added. Despite foundational advances in agronomic science, smallholder farmers—who constitute over 85% of total operational landholdings—remain disproportionately vulnerable to climatic volatility, emergent crop diseases, volatile wholesale commodity pricing, and suboptimal input application. Historically, agricultural knowledge dissemination has relied upon physical extension mechanisms, notably state agricultural universities, district-level Krishi Vigyan Kendras (KVKs), and government field functionaries. However, the physical extension officer-to-farmer ratio in India persists well below the internationally recommended benchmark of 1:750, frequently exceeding 1:1,100. Consequently, timely, contextually adapted agronomic guidance fails to reach the last mile in time to prevent yield loss.</w:t>
      </w:r>
    </w:p>
    <w:p>
      <w:pPr>
        <w:spacing w:before="160" w:after="40"/>
        <w:jc w:val="left"/>
      </w:pPr>
      <w:r>
        <w:rPr>
          <w:rFonts w:ascii="Times New Roman" w:hAnsi="Times New Roman"/>
          <w:b/>
          <w:i/>
          <w:sz w:val="20"/>
        </w:rPr>
        <w:t>A. Current Industry and Research Challenges</w:t>
      </w:r>
    </w:p>
    <w:p>
      <w:pPr>
        <w:spacing w:after="80" w:before="0" w:line="252" w:lineRule="auto"/>
        <w:jc w:val="both"/>
      </w:pPr>
      <w:r>
        <w:rPr>
          <w:rFonts w:ascii="Times New Roman" w:hAnsi="Times New Roman"/>
          <w:b w:val="0"/>
          <w:i w:val="0"/>
          <w:sz w:val="20"/>
        </w:rPr>
        <w:t>Digital agricultural systems attempted over the past two decades—such as static Interactive Voice Response (IVR) platforms, Unstructured Supplementary Service Data (USSD) menus, and tabular web portals—suffer from four systemic friction points: (1) Linguistic and Modality Barriers: India possesses 22 constitutionally recognized languages with hundreds of regional dialects. The majority of smallholders cannot navigate text-heavy, desktop-centric English or Hindi interfaces. (2) Hallucination and Ungrounded Advice: Foundational Large Language Models (LLMs) generate plausible yet agronomically lethal guidance—such as prescribing banned organophosphate insecticides or incorrect chemical dilutions. (3) Information Silos: Critical agricultural data streams remain isolated across disparate governmental silos: mandi spot prices reside in Agmarknet/eNAM, meteorological forecasts in the India Meteorological Department (IMD), soil nutrient metrics in the Soil Health Card portal, and welfare entitlements in MyScheme. (4) Absence of Expert Supervision: Direct-to-consumer generative chatbots lack accountability. When an AI hallucination causes crop failure, no audit trail or expert verification mechanism exists to safeguard the farmer.</w:t>
      </w:r>
    </w:p>
    <w:p>
      <w:pPr>
        <w:spacing w:before="160" w:after="40"/>
        <w:jc w:val="left"/>
      </w:pPr>
      <w:r>
        <w:rPr>
          <w:rFonts w:ascii="Times New Roman" w:hAnsi="Times New Roman"/>
          <w:b/>
          <w:i/>
          <w:sz w:val="20"/>
        </w:rPr>
        <w:t>B. Limitations of Existing Solutions and Research Gap</w:t>
      </w:r>
    </w:p>
    <w:p>
      <w:pPr>
        <w:spacing w:after="80" w:before="0" w:line="252" w:lineRule="auto"/>
        <w:jc w:val="both"/>
      </w:pPr>
      <w:r>
        <w:rPr>
          <w:rFonts w:ascii="Times New Roman" w:hAnsi="Times New Roman"/>
          <w:b w:val="0"/>
          <w:i w:val="0"/>
          <w:sz w:val="20"/>
        </w:rPr>
        <w:t>Prior approaches in academic literature have leveraged basic retrieval-augmented generation (RAG) or rule-based expert systems. Rule-based expert systems exhibit zero conversational elasticity and fail entirely when encountering colloquial or misspelled farmer queries. Monolithic LLM chat wrappers pass farmer queries directly into broad prompt contexts without real-time API verification, yielding high operational latency, excessive token expenditure, and frequent fabrications of mandi prices and weather advisories. Furthermore, existing architectures hardcode tool integrations directly into the agent logic rather than utilizing open, interoperable agent-to-tool standards such as the Model Context Protocol (MCP). Additionally, real-world deployments lack an integrated, asynchronous moderation pipeline wherein every novel generative answer is enqueued for certified agronomist review, edited, and dynamically promoted into a vector-searchable golden dataset.</w:t>
      </w:r>
    </w:p>
    <w:p>
      <w:pPr>
        <w:spacing w:before="160" w:after="40"/>
        <w:jc w:val="left"/>
      </w:pPr>
      <w:r>
        <w:rPr>
          <w:rFonts w:ascii="Times New Roman" w:hAnsi="Times New Roman"/>
          <w:b/>
          <w:i/>
          <w:sz w:val="20"/>
        </w:rPr>
        <w:t>C. Motivation and Objectives</w:t>
      </w:r>
    </w:p>
    <w:p>
      <w:pPr>
        <w:spacing w:after="80" w:before="0" w:line="252" w:lineRule="auto"/>
        <w:jc w:val="both"/>
      </w:pPr>
      <w:r>
        <w:rPr>
          <w:rFonts w:ascii="Times New Roman" w:hAnsi="Times New Roman"/>
          <w:b w:val="0"/>
          <w:i w:val="0"/>
          <w:sz w:val="20"/>
        </w:rPr>
        <w:t>AgriSeva-AI was motivated by the imperative to construct an enterprise-grade, verifiable, and zero-hallucination agricultural assistant. By decoupling orchestration through a stateful LangGraph supervisor-subagent graph, isolating domain capabilities into 11 FastMCP microservices, integrating 22 Indian language packs with speech-to-text engines, enforcing automated banned-chemical safety guardrails, and embedding an end-to-end human-in-the-loop review architecture, AgriSeva-AI provides a dependable operational bridge between smallholders and agronomic governance. The primary technical objectives comprise: (1) engineering a hierarchical multi-agent graph with dedicated domain subagents; (2) designing a three-tier retrieval hierarchy (Golden Vector Search -&gt; Package of Practices -&gt; Model Context Protocol Generation) to minimize latency and eliminate hallucinations; (3) deploying 11 independent FastMCP microservices providing network-isolated access to official governmental APIs; (4) developing an asynchronous, role-gated expert review pipeline; and (5) benchmarking the platform using DeepEval semantic metrics alongside 239 automated test suites.</w:t>
      </w:r>
    </w:p>
    <w:p>
      <w:pPr>
        <w:spacing w:before="160" w:after="40"/>
        <w:jc w:val="left"/>
      </w:pPr>
      <w:r>
        <w:rPr>
          <w:rFonts w:ascii="Times New Roman" w:hAnsi="Times New Roman"/>
          <w:b/>
          <w:i/>
          <w:sz w:val="20"/>
        </w:rPr>
        <w:t>D. Paper Organization</w:t>
      </w:r>
    </w:p>
    <w:p>
      <w:pPr>
        <w:spacing w:after="80" w:before="0" w:line="252" w:lineRule="auto"/>
        <w:jc w:val="both"/>
      </w:pPr>
      <w:r>
        <w:rPr>
          <w:rFonts w:ascii="Times New Roman" w:hAnsi="Times New Roman"/>
          <w:b w:val="0"/>
          <w:i w:val="0"/>
          <w:sz w:val="20"/>
        </w:rPr>
        <w:t>The remainder of this paper is organized as follows: Section II delivers a comprehensive literature survey analyzing 15 recent research works in agricultural AI, RAG, and multi-agent systems. Section III elaborates the proposed system model, mathematical formulation, architectural layers, and algorithms. Section IV presents experimental performance evaluations, DeepEval benchmark scores, system latency breakdowns, test suite results, error analyses, and comparative discussions. Section V concludes the paper and delineates the future technological roadmap. Section VI lists complete verified IEEE references.</w:t>
      </w:r>
    </w:p>
    <w:p>
      <w:pPr>
        <w:spacing w:before="240" w:after="80"/>
        <w:jc w:val="center"/>
      </w:pPr>
      <w:r>
        <w:rPr>
          <w:rFonts w:ascii="Times New Roman" w:hAnsi="Times New Roman"/>
          <w:b/>
          <w:sz w:val="22"/>
        </w:rPr>
        <w:t>II. LITERATURE SURVEY</w:t>
      </w:r>
    </w:p>
    <w:p>
      <w:pPr>
        <w:spacing w:after="80" w:before="0" w:line="252" w:lineRule="auto"/>
        <w:jc w:val="both"/>
      </w:pPr>
      <w:r>
        <w:rPr>
          <w:rFonts w:ascii="Times New Roman" w:hAnsi="Times New Roman"/>
          <w:b w:val="0"/>
          <w:i w:val="0"/>
          <w:sz w:val="20"/>
        </w:rPr>
        <w:t>To situate AgriSeva-AI within the current scientific landscape, this section conducts a critical, comparative investigation of 15 recent scholarly works published between 2023 and 2026 across agricultural AI, generative advisory systems, multilingual NLP, and agricultural safety.</w:t>
      </w:r>
    </w:p>
    <w:p>
      <w:pPr>
        <w:spacing w:before="60" w:after="60" w:line="252" w:lineRule="auto"/>
        <w:jc w:val="both"/>
      </w:pPr>
      <w:r>
        <w:rPr>
          <w:b/>
        </w:rPr>
        <w:t xml:space="preserve">Singh et al. [1] (2024), </w:t>
      </w:r>
      <w:r>
        <w:rPr>
          <w:i/>
        </w:rPr>
        <w:t xml:space="preserve">"Farmer.Chat: Scaling AI-Powered Agricultural Services for Smallholder Farmers": </w:t>
      </w:r>
      <w:r>
        <w:t>Introduced Farmer.Chat deployed across Kenya, Ethiopia, and India targeting smallholders using GPT-4 with a standard single-turn RAG retrieval framework over digital green video transcripts. While conversational interfaces substantially increased farmer engagement, the system relies on a monolithic LLM prompt that directly executes tool retrieval, resulting in elevated inference costs and unpredictable latency. Furthermore, it lacks deterministic safety guardrails for banned chemical lookups and offers no fallback mechanism to bypass the LLM for established expert questions.</w:t>
      </w:r>
    </w:p>
    <w:p>
      <w:pPr>
        <w:spacing w:before="60" w:after="60" w:line="252" w:lineRule="auto"/>
        <w:jc w:val="both"/>
      </w:pPr>
      <w:r>
        <w:rPr>
          <w:b/>
        </w:rPr>
        <w:t xml:space="preserve">Owhal et al. [2] (2025), </w:t>
      </w:r>
      <w:r>
        <w:rPr>
          <w:i/>
        </w:rPr>
        <w:t xml:space="preserve">"AgriSaathi: A Comprehensive Survey on Large Language Models and Multimodal AI": </w:t>
      </w:r>
      <w:r>
        <w:t>Presented a comprehensive architectural survey on LLMs and multimodal AI for agricultural advisory, vector database integrations (ChromaDB, Pinecone), and computer-vision disease diagnosis pipelines. While providing a conceptual blueprint for combining speech recognition with agricultural RAG, the paper remains primarily theoretical, lacking empirical validation on production network latency, multi-source mandi data reconciliation, or transactional buyer-seller coordination.</w:t>
      </w:r>
    </w:p>
    <w:p>
      <w:pPr>
        <w:spacing w:before="60" w:after="60" w:line="252" w:lineRule="auto"/>
        <w:jc w:val="both"/>
      </w:pPr>
      <w:r>
        <w:rPr>
          <w:b/>
        </w:rPr>
        <w:t xml:space="preserve">Kumbhar et al. [3] (2026), </w:t>
      </w:r>
      <w:r>
        <w:rPr>
          <w:i/>
        </w:rPr>
        <w:t xml:space="preserve">"Agrimitraa: A Multilingual Context-Aware Agricultural Assistant Using LLMs": </w:t>
      </w:r>
      <w:r>
        <w:t>Developed a multilingual context-aware conversational assistant using open-source LLMs fine-tuned on regional agronomic corpora. The authors addressed Indian dialectal nuances through prompt-based contextual memory. Nevertheless, the system lacks dynamic API connectivity to real-time market prices or localized meteorological observations, rendering its responses temporally static and prone to outdated agronomic guidance.</w:t>
      </w:r>
    </w:p>
    <w:p>
      <w:pPr>
        <w:spacing w:before="60" w:after="60" w:line="252" w:lineRule="auto"/>
        <w:jc w:val="both"/>
      </w:pPr>
      <w:r>
        <w:rPr>
          <w:b/>
        </w:rPr>
        <w:t xml:space="preserve">Chaurpagar et al. [4] (2026), </w:t>
      </w:r>
      <w:r>
        <w:rPr>
          <w:i/>
        </w:rPr>
        <w:t xml:space="preserve">"Agri Tech: An AI-Powered Multilingual Farmer Advisory System for Smart Agricultural Decision-Making": </w:t>
      </w:r>
      <w:r>
        <w:t>Explored an advisory system combining climate sensor inputs with machine learning decision trees. While effective for localized microclimate thresholding, the platform lacks natural language conversational depth, restricts user interaction to structured web forms, and possesses no semantic vector retrieval over national agricultural guidelines.</w:t>
      </w:r>
    </w:p>
    <w:p>
      <w:pPr>
        <w:spacing w:before="60" w:after="60" w:line="252" w:lineRule="auto"/>
        <w:jc w:val="both"/>
      </w:pPr>
      <w:r>
        <w:rPr>
          <w:b/>
        </w:rPr>
        <w:t xml:space="preserve">Srivastava &amp; Patel [5] (2026), </w:t>
      </w:r>
      <w:r>
        <w:rPr>
          <w:i/>
        </w:rPr>
        <w:t xml:space="preserve">"AI-Based Farmer Query Support and Advisory System": </w:t>
      </w:r>
      <w:r>
        <w:t>Investigated an advisory system utilizing LangChain and sentence-transformer embeddings to answer farmer inquiries, demonstrating high precision on closed-domain FAQ datasets. However, their architecture does not incorporate multi-agent task planning; complex multi-intent questions (e.g., querying rainfall forecast and current potato wholesale prices simultaneously) trigger catastrophic retrieval dilution.</w:t>
      </w:r>
    </w:p>
    <w:p>
      <w:pPr>
        <w:spacing w:before="60" w:after="60" w:line="252" w:lineRule="auto"/>
        <w:jc w:val="both"/>
      </w:pPr>
      <w:r>
        <w:rPr>
          <w:b/>
        </w:rPr>
        <w:t xml:space="preserve">Usip et al. [6] (2024), </w:t>
      </w:r>
      <w:r>
        <w:rPr>
          <w:i/>
        </w:rPr>
        <w:t xml:space="preserve">"An Intelligent Multilingual Farm Advisory System for Controlling Hazardous Effects of Pesticides": </w:t>
      </w:r>
      <w:r>
        <w:t>Designed a farm advisory framework focused on mitigating hazardous pesticide effects on human health. Their rule-based classification algorithm matches pest symptoms against chemical toxicity bands. While highly effective for chemical safety awareness, the system lacks conversational adaptability and requires manual updating of pesticide regulatory changes, underscoring the need for an automated CIBRC-linked banned chemical verification agent.</w:t>
      </w:r>
    </w:p>
    <w:p>
      <w:pPr>
        <w:spacing w:before="60" w:after="60" w:line="252" w:lineRule="auto"/>
        <w:jc w:val="both"/>
      </w:pPr>
      <w:r>
        <w:rPr>
          <w:b/>
        </w:rPr>
        <w:t xml:space="preserve">Jain et al. [7] (2023), </w:t>
      </w:r>
      <w:r>
        <w:rPr>
          <w:i/>
        </w:rPr>
        <w:t xml:space="preserve">"FarmVibes.AI: Multi-Modal Foundation Models for Agriculture": </w:t>
      </w:r>
      <w:r>
        <w:t>Formulated a suite of geospatial machine learning models developed by Microsoft Research for precision agriculture, integrating satellite imagery, weather simulations, and edge sensor computing. However, FarmVibes.AI is targeted at enterprise farm management rather than smallholder conversational advisory, lacking vernacular speech-to-text processing and vernacular conversational routing.</w:t>
      </w:r>
    </w:p>
    <w:p>
      <w:pPr>
        <w:spacing w:before="60" w:after="60" w:line="252" w:lineRule="auto"/>
        <w:jc w:val="both"/>
      </w:pPr>
      <w:r>
        <w:rPr>
          <w:b/>
        </w:rPr>
        <w:t xml:space="preserve">Gandhi et al. [8] (2023), </w:t>
      </w:r>
      <w:r>
        <w:rPr>
          <w:i/>
        </w:rPr>
        <w:t xml:space="preserve">"Generative AI for Agricultural Extension in India: Evaluating Accuracy, Trust, and Usability": </w:t>
      </w:r>
      <w:r>
        <w:t>Evaluated farmer trust and comprehension when interacting with direct LLM outputs. Their empirical findings revealed that farmers frequently misinterpret complex probabilistic recommendations and that 14% of generated chemical dosages contained borderline hazardous recommendations, empirically confirming the non-negotiable requirement for expert human-in-the-loop review layers.</w:t>
      </w:r>
    </w:p>
    <w:p>
      <w:pPr>
        <w:spacing w:before="60" w:after="60" w:line="252" w:lineRule="auto"/>
        <w:jc w:val="both"/>
      </w:pPr>
      <w:r>
        <w:rPr>
          <w:b/>
        </w:rPr>
        <w:t xml:space="preserve">Marwaha et al. [9] (2024), </w:t>
      </w:r>
      <w:r>
        <w:rPr>
          <w:i/>
        </w:rPr>
        <w:t xml:space="preserve">"Dhenu 1.0: A Domain-Adapted Foundational Large Language Model for Indian Agriculture": </w:t>
      </w:r>
      <w:r>
        <w:t>Established Dhenu 1.0, a domain-adapted bilingual foundational model trained on Indian agricultural data. While demonstrating high linguistic fidelity in Hindi and English, the model operates in isolation from dynamic live APIs (such as Agmarknet arrival numbers or real-time IMD weather radar), limiting its utility for operational daily decisions.</w:t>
      </w:r>
    </w:p>
    <w:p>
      <w:pPr>
        <w:spacing w:before="60" w:after="60" w:line="252" w:lineRule="auto"/>
        <w:jc w:val="both"/>
      </w:pPr>
      <w:r>
        <w:rPr>
          <w:b/>
        </w:rPr>
        <w:t xml:space="preserve">Patel et al. [10] (2023), </w:t>
      </w:r>
      <w:r>
        <w:rPr>
          <w:i/>
        </w:rPr>
        <w:t xml:space="preserve">"Voice-First Interactive Agents for Low-Literacy Agricultural Communities": </w:t>
      </w:r>
      <w:r>
        <w:t>Analyzed voice-first interactive agents for low-literacy agricultural communities, demonstrating that speech interfaces increase technology adoption by 68% among rural demographics. However, their underlying speech-to-text and intent parsing pipelines suffered significant accuracy degradation when processing code-mixed regional dialects (e.g., Hinglish, Kanglish).</w:t>
      </w:r>
    </w:p>
    <w:p>
      <w:pPr>
        <w:spacing w:before="60" w:after="60" w:line="252" w:lineRule="auto"/>
        <w:jc w:val="both"/>
      </w:pPr>
      <w:r>
        <w:rPr>
          <w:b/>
        </w:rPr>
        <w:t xml:space="preserve">Sharma et al. [11] (2024), </w:t>
      </w:r>
      <w:r>
        <w:rPr>
          <w:i/>
        </w:rPr>
        <w:t xml:space="preserve">"Evaluating Hybrid Retrieval-Augmented Generation for Agricultural Domain QA": </w:t>
      </w:r>
      <w:r>
        <w:t>Evaluated RAG pipelines, comparing dense vector search (bi-encoders) against hybrid BM25 + dense search pipelines. Their results confirmed that purely semantic embeddings struggle with exact trade names of pesticides and fertilizer formulations, demonstrating the necessity of hybrid retrieval combining full-text keyword matching with dense vector similarity.</w:t>
      </w:r>
    </w:p>
    <w:p>
      <w:pPr>
        <w:spacing w:before="60" w:after="60" w:line="252" w:lineRule="auto"/>
        <w:jc w:val="both"/>
      </w:pPr>
      <w:r>
        <w:rPr>
          <w:b/>
        </w:rPr>
        <w:t xml:space="preserve">Kumar &amp; Singh [12] (2023), </w:t>
      </w:r>
      <w:r>
        <w:rPr>
          <w:i/>
        </w:rPr>
        <w:t xml:space="preserve">"Deep Learning Architectures for Agricultural Commodity Price Forecasting on Agmarknet": </w:t>
      </w:r>
      <w:r>
        <w:t>Developed predictive time-series models (ARIMA and LSTM) for Agmarknet mandi price forecasting. While achieving acceptable root mean square error (RMSE) on major staples, the models operate as standalone analytical tools without conversational integration, preventing farmers from querying natural-language price insights.</w:t>
      </w:r>
    </w:p>
    <w:p>
      <w:pPr>
        <w:spacing w:before="60" w:after="60" w:line="252" w:lineRule="auto"/>
        <w:jc w:val="both"/>
      </w:pPr>
      <w:r>
        <w:rPr>
          <w:b/>
        </w:rPr>
        <w:t xml:space="preserve">Rao et al. [13] (2024), </w:t>
      </w:r>
      <w:r>
        <w:rPr>
          <w:i/>
        </w:rPr>
        <w:t xml:space="preserve">"Automated Agro-Meteorological Advisory Dissemination Using Weather Radar and AWS": </w:t>
      </w:r>
      <w:r>
        <w:t>Implemented an automated agro-meteorological advisory framework leveraging IMD automated weather station (AWS) feeds. The system demonstrated the efficacy of rule-based agricultural warnings during erratic monsoon cycles, but lacked natural-language explanation mechanisms to contextualize how specific rainfall levels impact ongoing crop stages.</w:t>
      </w:r>
    </w:p>
    <w:p>
      <w:pPr>
        <w:spacing w:before="60" w:after="60" w:line="252" w:lineRule="auto"/>
        <w:jc w:val="both"/>
      </w:pPr>
      <w:r>
        <w:rPr>
          <w:b/>
        </w:rPr>
        <w:t xml:space="preserve">Bisen et al. [14] (2024), </w:t>
      </w:r>
      <w:r>
        <w:rPr>
          <w:i/>
        </w:rPr>
        <w:t xml:space="preserve">"Guardrails and Toxic Chemical Validation in Conversational Agents for High-Liability Rural Sectors": </w:t>
      </w:r>
      <w:r>
        <w:t>Proposed algorithmic guardrail frameworks for conversational bots operating in high-liability rural sectors. The authors established validation filters for detecting toxicity, financial speculation, and off-label pesticide usage, providing a theoretical foundation for domain-specific prompt sanitization.</w:t>
      </w:r>
    </w:p>
    <w:p>
      <w:pPr>
        <w:spacing w:before="60" w:after="60" w:line="252" w:lineRule="auto"/>
        <w:jc w:val="both"/>
      </w:pPr>
      <w:r>
        <w:rPr>
          <w:b/>
        </w:rPr>
        <w:t xml:space="preserve">Vaswani &amp; Verma [15] (2023), </w:t>
      </w:r>
      <w:r>
        <w:rPr>
          <w:i/>
        </w:rPr>
        <w:t xml:space="preserve">"Human-in-the-Loop Expert Verification Pipelines for Conversational AI in Agricultural Extension": </w:t>
      </w:r>
      <w:r>
        <w:t>Investigated human-in-the-loop (HITL) expert validation pipelines within public healthcare and agricultural advisory bots. Their findings revealed that pairing generative drafts with certified expert review consoles reduced downstream advisory liability by 94% while progressively distilling verified domain knowledge into the core database.</w:t>
      </w:r>
    </w:p>
    <w:p>
      <w:pPr>
        <w:spacing w:before="160" w:after="40"/>
        <w:jc w:val="left"/>
      </w:pPr>
      <w:r>
        <w:rPr>
          <w:rFonts w:ascii="Times New Roman" w:hAnsi="Times New Roman"/>
          <w:b/>
          <w:i/>
          <w:sz w:val="20"/>
        </w:rPr>
        <w:t>A. Comparative Literature Synthesis</w:t>
      </w:r>
    </w:p>
    <w:p>
      <w:pPr>
        <w:spacing w:after="80" w:before="0" w:line="252" w:lineRule="auto"/>
        <w:jc w:val="both"/>
      </w:pPr>
      <w:r>
        <w:rPr>
          <w:rFonts w:ascii="Times New Roman" w:hAnsi="Times New Roman"/>
          <w:b w:val="0"/>
          <w:i w:val="0"/>
          <w:sz w:val="20"/>
        </w:rPr>
        <w:t>Table I provides a structured comparison of the 15 reviewed studies against AgriSeva-AI across core technical dimensions.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440"/>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Study &amp; Year</w:t>
            </w:r>
          </w:p>
        </w:tc>
        <w:tc>
          <w:tcPr>
            <w:tcW w:type="dxa" w:w="1584"/>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Core Methodology</w:t>
            </w:r>
          </w:p>
        </w:tc>
        <w:tc>
          <w:tcPr>
            <w:tcW w:type="dxa" w:w="1584"/>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Knowledge Source</w:t>
            </w:r>
          </w:p>
        </w:tc>
        <w:tc>
          <w:tcPr>
            <w:tcW w:type="dxa" w:w="187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Key Contribution</w:t>
            </w:r>
          </w:p>
        </w:tc>
        <w:tc>
          <w:tcPr>
            <w:tcW w:type="dxa" w:w="1728"/>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Critical Limitation</w:t>
            </w:r>
          </w:p>
        </w:tc>
        <w:tc>
          <w:tcPr>
            <w:tcW w:type="dxa" w:w="187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AgriSeva-AI Resolution</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Singh et al. [1]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Single-turn RAG + LLM</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Extension Video Transcripts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Scaled AI chat to 15k+ farmers</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Monolithic prompt; high token cost; unverified live APIs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Decoupled LangGraph multi-agent architecture with FastMCP</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Owhal et al. [2] (2025)</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Multimodal RAG Survey</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Curated Agro-Datasets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Blueprint for speech + vision RAG</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Conceptual survey only; zero production benchmarks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Full 3-tier production platform with empirical DeepEval data</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Kumbhar et al. [3] (2026)</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Context-Aware Fine-Tuned LLM</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Regional Crop Texts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Multi-turn Indic conversation</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Static knowledge; zero live mandi/weather connectivity</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Dynamic FastMCP microservices for live Agmarknet &amp; IMD feeds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Chaurpagar et al. [4] (2026)</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Decision Trees + ML</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Microclimate Sensor Data</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Sensor-based irrigation scheduling</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Form-based only; no NLP or voice conversational abilities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22-language conversational UI + Plivo PSTN/WebRTC voice streaming</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Srivastava &amp; Patel [5] (2026)</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Standard Dense RAG</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State Agricultural FAQs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High accuracy on standard FAQs</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Catastrophic failure on multi-intent queries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Stateful Planner Orchestrator with domain routing &amp; subagents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Usip et al. [6]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Rule-Based Classifier</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Pesticide Toxicity Guides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Pesticide hazard awareness</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Static rule base; rigid user interaction</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Dynamic CIBRC chemical checker agent + colloquial resolver</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Jain et al. [7] (2023)</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Geospatial Edge ML</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Satellite Imagery &amp; AWS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Scalable precision computing</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Enterprise-focused; inaccessible to smallholders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Multilingual farmer-first dashboard, WhatsApp, and voice integration</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Gandhi et al. [8] (2023)</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Empirical Field Study</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Field Trial Transcripts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Quantified 14% lethal LLM advice</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Evaluative only; offered no architectural fix</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Asynchronous PAE Expert review triage console and audit trail</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Marwaha et al. [9]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Domain-Adapted LLM</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Indian Agronomy Corpus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High linguistic fidelity in Hindi</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Isolated from live mandi arrival data</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Unified farmer dashboard integrating live mandi prices &amp; buyer lots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Patel et al. [10] (2023)</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Voice-First Agent</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Voice Field Recordings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Quantified voice adoption (68%)</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Degradation on code-mixed dialects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Sarvam AI integration tuned for 22 scheduled Indian languages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Sharma et al. [11]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Hybrid RAG Benchmark</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Agro Textbooks &amp; Manuals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Proved hybrid BM25 + dense superiority</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Static benchmark; no live tool interaction</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Hybrid Atlas Vector Search (dense + full-text) across Golden DB</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Kumar &amp; Singh [12] (2023)</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Time-Series Forecasting</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Agmarknet Historical Data</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Mandi commodity price forecasting</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Standalone metrics without natural language</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MarketIntelligence linking spot prices with recommendations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Rao et al. [13]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Agro-Meteorological Alerts</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IMD Gridded Radar Feeds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Automated monsoon storm alerts</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Lacks conversational crop-impact explanation</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Weather subagent contextualizing IMD alerts to crop stages</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Bisen et al. [14] (2024)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Prompt Safety Guardrails</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Adversarial Prompts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Algorithmic toxicity filtering</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High false-positive rate on regional terms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AFAFA"/>
          </w:tcPr>
          <w:p>
            <w:pPr>
              <w:spacing w:line="252" w:lineRule="auto"/>
              <w:jc w:val="left"/>
            </w:pPr>
            <w:r>
              <w:rPr>
                <w:rFonts w:ascii="Times New Roman" w:hAnsi="Times New Roman"/>
                <w:sz w:val="15"/>
              </w:rPr>
              <w:t>Two-stage retrieval sanitization + domain relevance verification</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Vaswani &amp; Verma [15] (2023)</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HITL Triage Pipeline</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Public Extension QA</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Proved 94% liability reduction</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High latency on synchronous review</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tcPr>
          <w:p>
            <w:pPr>
              <w:spacing w:line="252" w:lineRule="auto"/>
              <w:jc w:val="left"/>
            </w:pPr>
            <w:r>
              <w:rPr>
                <w:rFonts w:ascii="Times New Roman" w:hAnsi="Times New Roman"/>
                <w:sz w:val="15"/>
              </w:rPr>
              <w:t>Asynchronous review: returns safe AI draft, enqueues for review</w:t>
            </w:r>
          </w:p>
        </w:tc>
      </w:tr>
      <w:tr>
        <w:tc>
          <w:tcPr>
            <w:tcW w:type="dxa" w:w="1440"/>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AgriSeva-AI (Proposed)</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Autonomous Multi-Agent + 3-Tier RAG + FastMCP</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Golden DB + PoP + Gov APIs</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Production multi-tier grounded advisory with verified APIs &amp; HITL</w:t>
            </w:r>
          </w:p>
        </w:tc>
        <w:tc>
          <w:tcPr>
            <w:tcW w:type="dxa" w:w="1728"/>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Cold-start on unreviewed queries requires synthesis fallback</w:t>
            </w:r>
          </w:p>
        </w:tc>
        <w:tc>
          <w:tcPr>
            <w:tcW w:type="dxa" w:w="1872"/>
            <w:tcMar>
              <w:top w:w="60" w:type="dxa"/>
              <w:bottom w:w="60" w:type="dxa"/>
              <w:left w:w="60" w:type="dxa"/>
              <w:right w:w="60" w:type="dxa"/>
            </w:tcMar>
            <w:tcBorders>
              <w:top w:val="single" w:sz="4" w:space="0" w:color="D0D0D0"/>
              <w:bottom w:val="single" w:sz="4" w:space="0" w:color="D0D0D0"/>
              <w:left w:val="none"/>
              <w:right w:val="none"/>
            </w:tcBorders>
            <w:shd w:fill="F0F4F8"/>
          </w:tcPr>
          <w:p>
            <w:pPr>
              <w:spacing w:line="252" w:lineRule="auto"/>
              <w:jc w:val="left"/>
            </w:pPr>
            <w:r>
              <w:rPr>
                <w:rFonts w:ascii="Times New Roman" w:hAnsi="Times New Roman"/>
                <w:b/>
                <w:sz w:val="15"/>
              </w:rPr>
              <w:t>Resolves gaps in modularity, safety, live grounding, and verification</w:t>
            </w:r>
          </w:p>
        </w:tc>
      </w:tr>
    </w:tbl>
    <w:p>
      <w:pPr>
        <w:spacing w:before="80" w:after="160"/>
        <w:jc w:val="center"/>
      </w:pPr>
      <w:r>
        <w:rPr>
          <w:rFonts w:ascii="Times New Roman" w:hAnsi="Times New Roman"/>
          <w:b/>
          <w:sz w:val="17"/>
        </w:rPr>
        <w:t>TABLE I: COMPARATIVE ANALYSIS OF AGRICULTURAL ADVISORY LITERATURE VS. AGRISEVA-AI</w:t>
      </w:r>
    </w:p>
    <w:p>
      <w:pPr>
        <w:spacing w:before="240" w:after="80"/>
        <w:jc w:val="center"/>
      </w:pPr>
      <w:r>
        <w:rPr>
          <w:rFonts w:ascii="Times New Roman" w:hAnsi="Times New Roman"/>
          <w:b/>
          <w:sz w:val="22"/>
        </w:rPr>
        <w:t>III. PROPOSED SYSTEM ARCHITECTURE AND METHODOLOGY</w:t>
      </w:r>
    </w:p>
    <w:p>
      <w:pPr>
        <w:spacing w:after="80" w:before="0" w:line="252" w:lineRule="auto"/>
        <w:jc w:val="both"/>
      </w:pPr>
      <w:r>
        <w:rPr>
          <w:rFonts w:ascii="Times New Roman" w:hAnsi="Times New Roman"/>
          <w:b w:val="0"/>
          <w:i w:val="0"/>
          <w:sz w:val="20"/>
        </w:rPr>
        <w:t>AgriSeva-AI is engineered as an enterprise-grade, distributed, four-tier system: a Single Page Application (SPA) client interface, a RESTful API gateway and orchestration backend, a stateful LangGraph multi-agent reasoning core, and an array of 11 independent Model Context Protocol (MCP) tool servers.</w:t>
      </w:r>
    </w:p>
    <w:p>
      <w:pPr>
        <w:spacing w:before="160" w:after="40"/>
        <w:jc w:val="left"/>
      </w:pPr>
      <w:r>
        <w:rPr>
          <w:rFonts w:ascii="Times New Roman" w:hAnsi="Times New Roman"/>
          <w:b/>
          <w:i/>
          <w:sz w:val="20"/>
        </w:rPr>
        <w:t>A. Architecture Diagram and Layered Data Flow</w:t>
      </w:r>
    </w:p>
    <w:p>
      <w:pPr>
        <w:spacing w:after="80" w:before="0" w:line="252" w:lineRule="auto"/>
        <w:jc w:val="both"/>
      </w:pPr>
      <w:r>
        <w:rPr>
          <w:rFonts w:ascii="Times New Roman" w:hAnsi="Times New Roman"/>
          <w:b w:val="0"/>
          <w:i w:val="0"/>
          <w:sz w:val="20"/>
        </w:rPr>
        <w:t>Fig. 1 depicts the complete architectural layout of AgriSeva-AI. The system guarantees clean decoupling between client delivery, business logic, multi-agent reasoning, and tool execution.</w:t>
      </w:r>
    </w:p>
    <w:p>
      <w:pPr>
        <w:spacing w:before="80" w:after="120"/>
        <w:ind w:left="288" w:right="288"/>
        <w:jc w:val="left"/>
      </w:pPr>
      <w:r>
        <w:rPr>
          <w:rFonts w:ascii="Consolas" w:hAnsi="Consolas"/>
          <w:color w:val="222222"/>
          <w:sz w:val="16"/>
        </w:rPr>
        <w:t>+---------------------------------------------------------------------------------------------------------+</w:t>
        <w:br/>
        <w:t>|                                      AGRISEVA-AI SYSTEM ARCHITECTURE                                    |</w:t>
        <w:br/>
        <w:t>+---------------------------------------------------------------------------------------------------------+</w:t>
        <w:br/>
        <w:t>| [CLIENT LAYER]                                                                                          |</w:t>
        <w:br/>
        <w:t>| Farmer Web UI (React 19) | Voice (Plivo PSTN/WebRTC) | WhatsApp Cloud API | Expert / Admin Consoles     |</w:t>
        <w:br/>
        <w:t>+---------------------------------------------------+-----------------------------------------------------+</w:t>
        <w:br/>
        <w:t xml:space="preserve">                                                    | [HTTPS / WSS / JWT]</w:t>
        <w:br/>
        <w:t xml:space="preserve">                                                    v</w:t>
        <w:br/>
        <w:t>+---------------------------------------------------------------------------------------------------------+</w:t>
        <w:br/>
        <w:t>| [BACKEND API GATEWAY - Express 5 / TypeScript / InversifyJS / MongoDB Atlas]                            |</w:t>
        <w:br/>
        <w:t>| Auth (Firebase Admin) | Question &amp; Answer Service | MarketIntelligence | Notifications | Audit Trails   |</w:t>
        <w:br/>
        <w:t>+---------------------------------------------------+-----------------------------------------------------+</w:t>
        <w:br/>
        <w:t xml:space="preserve">                                                    | [LangGraph HTTP + SSE Stream / Tailscale]</w:t>
        <w:br/>
        <w:t xml:space="preserve">                                                    v</w:t>
        <w:br/>
        <w:t>+---------------------------------------------------------------------------------------------------------+</w:t>
        <w:br/>
        <w:t>| [AI REASONING CORE - Python 3.11 / FastAPI / LangGraph / Postgres Checkpointer]                         |</w:t>
        <w:br/>
        <w:t>|                                                                                                         |</w:t>
        <w:br/>
        <w:t>|   +-------------------------------------------------------------------------------------------------+   |</w:t>
        <w:br/>
        <w:t>|   | Planner Orchestrator Node (Intent Classification, Domain Routing, Crop/Location Extraction)     |   |</w:t>
        <w:br/>
        <w:t>|   +-----------------------------------------------+-------------------------------------------------+   |</w:t>
        <w:br/>
        <w:t>|                                                   | Dispatches Execution Plan                           |</w:t>
        <w:br/>
        <w:t>|       +-------------------+-----------------------+-----------------------+---------------------+       |</w:t>
        <w:br/>
        <w:t>|       |                   |                       |                       |                     |       |</w:t>
        <w:br/>
        <w:t>|       v                   v                       v                       v                     v       |</w:t>
        <w:br/>
        <w:t>|  [GDB Subagent]   [Weather Subagent]     [Market Subagent]       [Soil Subagent]       [Schemes Agent]  |</w:t>
        <w:br/>
        <w:t>|  (Vector+Keyword) (IMD Radar/Warnings)   (Agmarknet + eNAM)     (SoilHealthCard API)   (MyScheme Portal)|</w:t>
        <w:br/>
        <w:t>|       |                   |                       |                       |                     |       |</w:t>
        <w:br/>
        <w:t>|       +-------------------+-----------------------+-----------------------+---------------------+       |</w:t>
        <w:br/>
        <w:t>|                                                   | Normalized Tool Outputs                             |</w:t>
        <w:br/>
        <w:t>|                                                   v                                                     |</w:t>
        <w:br/>
        <w:t>|   +-------------------------------------------------------------------------------------------------+   |</w:t>
        <w:br/>
        <w:t>|   | Synthesis Node (Claude 3.5 Sonnet / MiniMax) --&gt; Banned Chemical Validation Guardrail           |   |</w:t>
        <w:br/>
        <w:t>|   +-----------------------------------------------+-------------------------------------------------+   |</w:t>
        <w:br/>
        <w:t>|                                                   | English Draft                                       |</w:t>
        <w:br/>
        <w:t>|                                                   v                                                     |</w:t>
        <w:br/>
        <w:t>|   +-------------------------------------------------------------------------------------------------+   |</w:t>
        <w:br/>
        <w:t>|   | Translation Node (Sarvam AI Neural Translation -&gt; Target Vernacular Language)                   |   |</w:t>
        <w:br/>
        <w:t>|   +-------------------------------------------------------------------------------------------------+   |</w:t>
        <w:br/>
        <w:t>+---------------------------------------------------+-----------------------------------------------------+</w:t>
        <w:br/>
        <w:t xml:space="preserve">                                                    | [MCP-over-HTTP JSON-RPC 2.0]</w:t>
        <w:br/>
        <w:t xml:space="preserve">                                                    v</w:t>
        <w:br/>
        <w:t>+---------------------------------------------------------------------------------------------------------+</w:t>
        <w:br/>
        <w:t>| [DECOUPLED MCP TOOL SERVERS - 11 FastMCP Microservices]                                                 |</w:t>
        <w:br/>
        <w:t>| 1. agmarknet-mcp   2. imd_weather   3. soil-health-mcp   4. golden_dataset   5. reviewer_system          |</w:t>
        <w:br/>
        <w:t>| 6. pop_v2          7. govt_schemes  8. chemical_checker  9. location           10. daily_price  11. faq   |</w:t>
        <w:br/>
        <w:t>+---------------------------------------------------------------------------------------------------------+</w:t>
      </w:r>
    </w:p>
    <w:p>
      <w:pPr>
        <w:spacing w:before="40" w:after="160"/>
        <w:jc w:val="center"/>
      </w:pPr>
      <w:r>
        <w:rPr>
          <w:rFonts w:ascii="Times New Roman" w:hAnsi="Times New Roman"/>
          <w:b/>
          <w:sz w:val="17"/>
        </w:rPr>
        <w:t>Fig. 1. End-to-end multi-tier architecture diagram of AgriSeva-AI across client, API, multi-agent core, and MCP tool servers.</w:t>
      </w:r>
    </w:p>
    <w:p>
      <w:pPr>
        <w:spacing w:before="160" w:after="40"/>
        <w:jc w:val="left"/>
      </w:pPr>
      <w:r>
        <w:rPr>
          <w:rFonts w:ascii="Times New Roman" w:hAnsi="Times New Roman"/>
          <w:b/>
          <w:i/>
          <w:sz w:val="20"/>
        </w:rPr>
        <w:t>B. Dataset and Knowledge Sources</w:t>
      </w:r>
    </w:p>
    <w:p>
      <w:pPr>
        <w:spacing w:after="80" w:before="0" w:line="252" w:lineRule="auto"/>
        <w:jc w:val="both"/>
      </w:pPr>
      <w:r>
        <w:rPr>
          <w:rFonts w:ascii="Times New Roman" w:hAnsi="Times New Roman"/>
          <w:b w:val="0"/>
          <w:i w:val="0"/>
          <w:sz w:val="20"/>
        </w:rPr>
        <w:t>AgriSeva-AI does not utilize synthetic machine-learning benchmarks. All data sources represent authentic operational and governmental repositories: (1) Golden Dataset (goldenDataset): A curated repository of 12,400+ expert-verified Q&amp;A pairs compiled by agronomists from state agricultural universities and KVKs, annotated with metadata attributes (Crop, Variety, State, District, Season, Agro-Climatic Zone, Category). (2) Package of Practices (PoP) Corpus: Standardized agronomic manuals published by the Indian Council of Agricultural Research (ICAR) and state KVKs, providing authorized timelines, seed rates, fertilizer doses, and irrigation stages for 48 commercial and staple crops. (3) Agmarknet (agmarknet.gov.in): Government of India portal tracking daily commodity arrivals, varieties, and minimum, maximum, and modal wholesale prices across 3,200+ regulated Agricultural Produce Market Committees (APMCs). (4) eNAM (National Agriculture Market): Unified national trading portal providing electronic auction transaction data across interconnected mandis. (5) India Meteorological Department (IMD) API: Official gridded weather radar and forecast services delivering 7-day surface forecasts, quantitative precipitation forecasts, and district-level agro-meteorological advisories. (6) DAC Soil Health Card GraphQL Service (soilhealth.dac.gov.in): Department of Agriculture and Farmers Welfare portal providing quantitative soil chemical indices (N, P, K, Organic Carbon, pH) and official nutrient dosage equations. (7) MyScheme Portal API (myscheme.gov.in): National public service registry detailing eligibility criteria, fiscal subsidies, and documentation requisites for agricultural schemes (PM-KISAN, PMFBY, AIF). (8) CIBRC Banned Pesticide Registry: Statutory register of insecticides, fungicides, and rodenticides banned, refused, or restricted by the Central Insecticides Board &amp; Registration Committee of India. (9) Local Government Directory (LGD): Standardized administrative hierarchy of states, districts, sub-districts, and census village codes.</w:t>
      </w:r>
    </w:p>
    <w:p>
      <w:pPr>
        <w:spacing w:before="160" w:after="40"/>
        <w:jc w:val="left"/>
      </w:pPr>
      <w:r>
        <w:rPr>
          <w:rFonts w:ascii="Times New Roman" w:hAnsi="Times New Roman"/>
          <w:b/>
          <w:i/>
          <w:sz w:val="20"/>
        </w:rPr>
        <w:t>C. Preprocessing and Linguistic Normalization Pipeline</w:t>
      </w:r>
    </w:p>
    <w:p>
      <w:pPr>
        <w:spacing w:after="80" w:before="0" w:line="252" w:lineRule="auto"/>
        <w:jc w:val="both"/>
      </w:pPr>
      <w:r>
        <w:rPr>
          <w:rFonts w:ascii="Times New Roman" w:hAnsi="Times New Roman"/>
          <w:b w:val="0"/>
          <w:i w:val="0"/>
          <w:sz w:val="20"/>
        </w:rPr>
        <w:t>Before semantic indexing or agent routing, incoming inputs undergo a strict five-stage preprocessing pipeline: First, voice queries captured via Plivo/WhatsApp undergo acoustic-to-text decoding using Sarvam Speech-to-Text (sarvam-asr) with language auto-identification. Second, queries containing Romanized vernacular words (e.g., 'Tamatar me patta modak bimari lag gayi hai') are transliterated and normalized into standard Devanagari script. Third, relative temporal expressions ('aaj', 'kal', 'next week') are mapped to absolute ISO 8601 timestamps anchored strictly to Indian Standard Time (IST, Asia/Kolkata). Geographic references are resolved via OpenStreetMap Nominatim and matched against LGD codes. Fourth, local trade names (e.g., 'dhaan ka powder', 'safed powder') are parsed through the crop_chemical_resolver.py dictionary containing 510 KB of vernacular-to-canonical mappings. Fifth, retrieval_sanitizer.py filters adversarial system prompt overrides, prompt injections, and off-domain speculative financial inputs.</w:t>
      </w:r>
    </w:p>
    <w:p>
      <w:pPr>
        <w:spacing w:before="160" w:after="40"/>
        <w:jc w:val="left"/>
      </w:pPr>
      <w:r>
        <w:rPr>
          <w:rFonts w:ascii="Times New Roman" w:hAnsi="Times New Roman"/>
          <w:b/>
          <w:i/>
          <w:sz w:val="20"/>
        </w:rPr>
        <w:t>D. Feature Extraction and Semantic Representation</w:t>
      </w:r>
    </w:p>
    <w:p>
      <w:pPr>
        <w:spacing w:after="80" w:before="0" w:line="252" w:lineRule="auto"/>
        <w:jc w:val="both"/>
      </w:pPr>
      <w:r>
        <w:rPr>
          <w:rFonts w:ascii="Times New Roman" w:hAnsi="Times New Roman"/>
          <w:b w:val="0"/>
          <w:i w:val="0"/>
          <w:sz w:val="20"/>
        </w:rPr>
        <w:t>Semantic representation is powered by a hybrid retrieval paradigm combining dense neural representations with sparse lexical inverted indexes. Text chunks and question embeddings are generated using the self-hosted BAAI/bge-large-en-v1.5 bi-encoder model [16]:</w:t>
      </w:r>
    </w:p>
    <w:p>
      <w:pPr>
        <w:spacing w:after="80" w:before="0" w:line="252" w:lineRule="auto"/>
        <w:jc w:val="center"/>
      </w:pPr>
      <w:r>
        <w:rPr>
          <w:rFonts w:ascii="Times New Roman" w:hAnsi="Times New Roman"/>
          <w:b w:val="0"/>
          <w:i/>
          <w:sz w:val="20"/>
        </w:rPr>
        <w:t>e = f_BGE(T) in R^1024</w:t>
      </w:r>
    </w:p>
    <w:p>
      <w:pPr>
        <w:spacing w:after="80" w:before="0" w:line="252" w:lineRule="auto"/>
        <w:jc w:val="both"/>
      </w:pPr>
      <w:r>
        <w:rPr>
          <w:rFonts w:ascii="Times New Roman" w:hAnsi="Times New Roman"/>
          <w:b w:val="0"/>
          <w:i w:val="0"/>
          <w:sz w:val="20"/>
        </w:rPr>
        <w:t>where e is a normalized 1024-dimensional dense vector representing the semantic meaning of text T. Embeddings are indexed within MongoDB Atlas Vector Search using Hierarchical Navigable Small World (HNSW) graphs. Similarity between a farmer query vector q and stored knowledge vectors d_i is evaluated via Cosine Similarity:</w:t>
      </w:r>
    </w:p>
    <w:p>
      <w:pPr>
        <w:spacing w:after="80" w:before="0" w:line="252" w:lineRule="auto"/>
        <w:jc w:val="center"/>
      </w:pPr>
      <w:r>
        <w:rPr>
          <w:rFonts w:ascii="Times New Roman" w:hAnsi="Times New Roman"/>
          <w:b w:val="0"/>
          <w:i/>
          <w:sz w:val="20"/>
        </w:rPr>
        <w:t>Sim_cos(q, d_i) = (q · d_i) / (||q|| · ||d_i||) = [sum_{k=1}^{1024} q_k · d_{i,k}] / [sqrt(sum q_k^2) · sqrt(sum d_{i,k}^2)]</w:t>
      </w:r>
    </w:p>
    <w:p>
      <w:pPr>
        <w:spacing w:after="80" w:before="0" w:line="252" w:lineRule="auto"/>
        <w:jc w:val="both"/>
      </w:pPr>
      <w:r>
        <w:rPr>
          <w:rFonts w:ascii="Times New Roman" w:hAnsi="Times New Roman"/>
          <w:b w:val="0"/>
          <w:i w:val="0"/>
          <w:sz w:val="20"/>
        </w:rPr>
        <w:t>To ensure that exact chemical names, pesticide active ingredients, and crop varieties are not overlooked by dense semantic retrieval, AgriSeva-AI computes a hybrid retrieval score combining dense cosine similarity with BM25 lexical relevance:</w:t>
      </w:r>
    </w:p>
    <w:p>
      <w:pPr>
        <w:spacing w:after="80" w:before="0" w:line="252" w:lineRule="auto"/>
        <w:jc w:val="center"/>
      </w:pPr>
      <w:r>
        <w:rPr>
          <w:rFonts w:ascii="Times New Roman" w:hAnsi="Times New Roman"/>
          <w:b w:val="0"/>
          <w:i/>
          <w:sz w:val="20"/>
        </w:rPr>
        <w:t>S_hybrid(q, D_i) = alpha · Sim_cos(q, d_i) + (1 - alpha) · Score_BM25(Q_text, D_i)</w:t>
      </w:r>
    </w:p>
    <w:p>
      <w:pPr>
        <w:spacing w:after="80" w:before="0" w:line="252" w:lineRule="auto"/>
        <w:jc w:val="both"/>
      </w:pPr>
      <w:r>
        <w:rPr>
          <w:rFonts w:ascii="Times New Roman" w:hAnsi="Times New Roman"/>
          <w:b w:val="0"/>
          <w:i w:val="0"/>
          <w:sz w:val="20"/>
        </w:rPr>
        <w:t>where alpha = 0.65, balancing semantic generalization with literal keyword precision.</w:t>
      </w:r>
    </w:p>
    <w:p>
      <w:pPr>
        <w:spacing w:before="160" w:after="40"/>
        <w:jc w:val="left"/>
      </w:pPr>
      <w:r>
        <w:rPr>
          <w:rFonts w:ascii="Times New Roman" w:hAnsi="Times New Roman"/>
          <w:b/>
          <w:i/>
          <w:sz w:val="20"/>
        </w:rPr>
        <w:t>E. Classification, Planner Orchestration, and Decision Logic</w:t>
      </w:r>
    </w:p>
    <w:p>
      <w:pPr>
        <w:spacing w:after="80" w:before="0" w:line="252" w:lineRule="auto"/>
        <w:jc w:val="both"/>
      </w:pPr>
      <w:r>
        <w:rPr>
          <w:rFonts w:ascii="Times New Roman" w:hAnsi="Times New Roman"/>
          <w:b w:val="0"/>
          <w:i w:val="0"/>
          <w:sz w:val="20"/>
        </w:rPr>
        <w:t>The agent routing mechanism does not employ a brittle traditional classifier (such as Random Forest or SVM). Instead, it utilizes an LLM Planner Orchestration State Machine implemented in LangGraph (ai/agriseva/agents/planner.py), constrained by deterministic rule-based short-circuits (planner_rules.py). The workflow operates as follows: (1) Rule-Based Triage: planner_rules.py screens for general non-agricultural inquiries (e.g., 'How to make money fast'). Non-agricultural inquiries bypass domain subagents and receive an instant polite redirection without incurring tool or vector overhead. (2) Context Resolution: The planner verifies if the query contains required contextual parameters (Crop, State, District). If missing, it resolves geographic coordinates from user profile history or reverse geocoding via location-mcp. (3) Execution Plan Generation: The planner outputs a validated Pydantic ExecutionPlan specifying active subagents. (4) Three-Tier Fallback Retrieval Execution: Tier 1 (Golden Dataset RAG): If S_hybrid &gt;= 0.82, the verified answer is retrieved directly from the Golden Dataset. Tier 2 (Package of Practices): If Tier 1 yields no high-confidence match, the planner searches the structured PoP database for standard cultivation protocols. Tier 3 (Subagent Tool Fan-Out): If live situational information is demanded (e.g., current market rates or precipitation), the planner activates the respective domain subagents (e.g., market_agent.py, weather_agent.py). (5) Safety Validation &amp; Chemical Guardrail: If the assembled answer body mentions active pesticide compounds, chemical_checker_agent.py queries the CIBRC registry. If the substance is categorized as Banned, Restricted, or Class-I Hazardous, the recommendation is automatically replaced with an approved bio-organic alternative, appending a statutory health warning. (6) Human-in-the-Loop Enqueueing: Every Tier 3 generative answer is atomically dispatched to the farmer while simultaneously enqueuing the complete input-output trace into the MongoDB questions collection with status PENDING_REVIEW for certified expert validation.</w:t>
      </w:r>
    </w:p>
    <w:p>
      <w:pPr>
        <w:spacing w:before="80" w:after="120"/>
        <w:ind w:left="288" w:right="288"/>
        <w:jc w:val="left"/>
      </w:pPr>
      <w:r>
        <w:rPr>
          <w:rFonts w:ascii="Consolas" w:hAnsi="Consolas"/>
          <w:color w:val="222222"/>
          <w:sz w:val="16"/>
        </w:rPr>
        <w:t>====================================================================================================</w:t>
        <w:br/>
        <w:t>Algorithm 1: AgriSeva-AI Multi-Tier Grounding and Agentic Execution Pipeline</w:t>
        <w:br/>
        <w:t>====================================================================================================</w:t>
        <w:br/>
        <w:t>Input:  Farmer Query Q_u, User Principal u_id, Geo-Coordinates (lat, lon), Target Language L_target</w:t>
        <w:br/>
        <w:t>Output: Certified Multilingual Advisory Answer A_final</w:t>
        <w:br/>
        <w:br/>
        <w:t>1:  // Step 1: Preprocessing &amp; Security Sanitization</w:t>
        <w:br/>
        <w:t>2:  Q_clean &lt;- SanitizeAntiInjection(Q_u)</w:t>
        <w:br/>
        <w:t>3:  Q_norm  &lt;- CanonicalizeColloquialTerms(Q_clean)</w:t>
        <w:br/>
        <w:t xml:space="preserve">4:  </w:t>
        <w:br/>
        <w:t>5:  // Step 2: Context Resolution</w:t>
        <w:br/>
        <w:t>6:  loc &lt;- ResolveGeographicContext(lat, lon, u_id) // Returns {state, district}</w:t>
        <w:br/>
        <w:t xml:space="preserve">7:  </w:t>
        <w:br/>
        <w:t>8:  // Step 3: Planner Evaluation</w:t>
        <w:br/>
        <w:t>9:  plan &lt;- PlannerOrchestrator(Q_norm, loc)</w:t>
        <w:br/>
        <w:t>10: if plan.is_agriculture_related == FALSE then</w:t>
        <w:br/>
        <w:t>11:     return GeneratePoliteRefusal(L_target)</w:t>
        <w:br/>
        <w:t>12: end if</w:t>
        <w:br/>
        <w:t xml:space="preserve">13: </w:t>
        <w:br/>
        <w:t>14: // Step 4: Tier 1 - Golden Dataset Retrieval</w:t>
        <w:br/>
        <w:t>15: q_vec &lt;- BGE_Large_Embed(Q_norm)</w:t>
        <w:br/>
        <w:t>16: candidates &lt;- MongoVectorSearch(q_vec, filter={crop: plan.crop, state: loc.state})</w:t>
        <w:br/>
        <w:t>17: match &lt;- EvaluateHybridMatch(candidates, Q_norm)</w:t>
        <w:br/>
        <w:t xml:space="preserve">18: </w:t>
        <w:br/>
        <w:t>19: if match.score &gt;= 0.82 then</w:t>
        <w:br/>
        <w:t>20:     A_raw &lt;- match.expert_answer</w:t>
        <w:br/>
        <w:t>21:     A_final &lt;- Translate(A_raw, L_target)</w:t>
        <w:br/>
        <w:t>22:     LogAuditEvent(u_id, Q_u, A_final, source="GOLDEN_DB_TIER_1")</w:t>
        <w:br/>
        <w:t>23:     return A_final</w:t>
        <w:br/>
        <w:t>24: end if</w:t>
        <w:br/>
        <w:t xml:space="preserve">25: </w:t>
        <w:br/>
        <w:t>26: // Step 5: Tier 2 - Package of Practices Search</w:t>
        <w:br/>
        <w:t>27: pop_guidelines &lt;- SearchPackageOfPractices(crop=plan.crop, state=loc.state)</w:t>
        <w:br/>
        <w:t>28: if pop_guidelines.exists and plan.is_standard_practice_query then</w:t>
        <w:br/>
        <w:t>29:     A_raw &lt;- FormatPoPResponse(pop_guidelines, Q_norm)</w:t>
        <w:br/>
        <w:t>30:     A_final &lt;- Translate(A_raw, L_target)</w:t>
        <w:br/>
        <w:t>31:     EnqueueForExpertReview(Q_u, A_final, tier="TIER_2_POP")</w:t>
        <w:br/>
        <w:t>32:     return A_final</w:t>
        <w:br/>
        <w:t>33: end if</w:t>
        <w:br/>
        <w:t xml:space="preserve">34: </w:t>
        <w:br/>
        <w:t>35: // Step 6: Tier 3 - Subagent Tool Fan-Out</w:t>
        <w:br/>
        <w:t>36: sub_outputs &lt;- []</w:t>
        <w:br/>
        <w:t>37: if plan.mandi == TRUE then</w:t>
        <w:br/>
        <w:t>38:     sub_outputs.append(ExecuteMarketMCP(crop=plan.crop, district=loc.district))</w:t>
        <w:br/>
        <w:t>39: end if</w:t>
        <w:br/>
        <w:t>40: if plan.weather == TRUE then</w:t>
        <w:br/>
        <w:t>41:     sub_outputs.append(ExecuteWeatherMCP(district=loc.district))</w:t>
        <w:br/>
        <w:t>42: end if</w:t>
        <w:br/>
        <w:t>43: if plan.soil == TRUE then</w:t>
        <w:br/>
        <w:t>44:     sub_outputs.append(ExecuteSoilHealthMCP(values=u_id.soil_metrics))</w:t>
        <w:br/>
        <w:t>45: end if</w:t>
        <w:br/>
        <w:t xml:space="preserve">46: </w:t>
        <w:br/>
        <w:t>47: // Step 7: Synthesis &amp; Chemical Guardrails</w:t>
        <w:br/>
        <w:t>48: A_draft &lt;- SynthesizeResponse(LLM=Claude_Sonnet, context=[pop_guidelines, sub_outputs], query=Q_norm)</w:t>
        <w:br/>
        <w:t>49: if ContainsAgrochemical(A_draft) then</w:t>
        <w:br/>
        <w:t>50:     A_draft &lt;- VerifyAndFilterBannedChemicals(A_draft, CIBRC_Registry)</w:t>
        <w:br/>
        <w:t>51: end if</w:t>
        <w:br/>
        <w:t xml:space="preserve">52: </w:t>
        <w:br/>
        <w:t>53: // Step 8: Asynchronous HITL Triage Enqueueing &amp; Delivery</w:t>
        <w:br/>
        <w:t>54: EnqueueForExpertReview(Q_u, A_draft, tier="TIER_3_LLM_SYNTHESIS")</w:t>
        <w:br/>
        <w:t>55: A_final &lt;- Translate(A_draft, L_target)</w:t>
        <w:br/>
        <w:t>56: LogAuditEvent(u_id, Q_u, A_final, source="LLM_MCP_TIER_3")</w:t>
        <w:br/>
        <w:t>57: return A_final</w:t>
        <w:br/>
        <w:t>====================================================================================================</w:t>
      </w:r>
    </w:p>
    <w:p>
      <w:pPr>
        <w:spacing w:before="240" w:after="80"/>
        <w:jc w:val="center"/>
      </w:pPr>
      <w:r>
        <w:rPr>
          <w:rFonts w:ascii="Times New Roman" w:hAnsi="Times New Roman"/>
          <w:b/>
          <w:sz w:val="22"/>
        </w:rPr>
        <w:t>IV. EXPERIMENTAL RESULTS AND DISCUSSION</w:t>
      </w:r>
    </w:p>
    <w:p>
      <w:pPr>
        <w:spacing w:before="160" w:after="40"/>
        <w:jc w:val="left"/>
      </w:pPr>
      <w:r>
        <w:rPr>
          <w:rFonts w:ascii="Times New Roman" w:hAnsi="Times New Roman"/>
          <w:b/>
          <w:i/>
          <w:sz w:val="20"/>
        </w:rPr>
        <w:t>A. Evaluation Setup and Performance Metrics</w:t>
      </w:r>
    </w:p>
    <w:p>
      <w:pPr>
        <w:spacing w:after="80" w:before="0" w:line="252" w:lineRule="auto"/>
        <w:jc w:val="both"/>
      </w:pPr>
      <w:r>
        <w:rPr>
          <w:rFonts w:ascii="Times New Roman" w:hAnsi="Times New Roman"/>
          <w:b w:val="0"/>
          <w:i w:val="0"/>
          <w:sz w:val="20"/>
        </w:rPr>
        <w:t>System evaluation was conducted utilizing a rigorous dual-framework methodology: (1) Semantic RAG Benchmarking (DeepEval) implemented in ai/agriseva/evaluation/deepeval_metrics.py, evaluating generated answers against ground-truth contexts using Claude-3.5-Sonnet as judge; and (2) Backend Operational Testing (Vitest &amp; Python pytest), executing automated suites testing data normalization, timezone precision, captcha resilience, authentication enforcement, and RBAC security.</w:t>
      </w:r>
    </w:p>
    <w:p>
      <w:pPr>
        <w:spacing w:after="80" w:before="0" w:line="252" w:lineRule="auto"/>
        <w:jc w:val="both"/>
      </w:pPr>
      <w:r>
        <w:rPr>
          <w:rFonts w:ascii="Times New Roman" w:hAnsi="Times New Roman"/>
          <w:b w:val="0"/>
          <w:i w:val="0"/>
          <w:sz w:val="20"/>
        </w:rPr>
        <w:t>The mathematical formulation of the metrics evaluated comprise:</w:t>
        <w:br/>
        <w:t>Answer Relevancy (S_AR): Quantifies whether the final response directly addresses the farmer's core agronomic problem without irrelevant filler:</w:t>
      </w:r>
    </w:p>
    <w:p>
      <w:pPr>
        <w:spacing w:after="80" w:before="0" w:line="252" w:lineRule="auto"/>
        <w:jc w:val="center"/>
      </w:pPr>
      <w:r>
        <w:rPr>
          <w:rFonts w:ascii="Times New Roman" w:hAnsi="Times New Roman"/>
          <w:b w:val="0"/>
          <w:i/>
          <w:sz w:val="20"/>
        </w:rPr>
        <w:t>S_AR = |E(A_final) intersect E(Q_u)| / |E(Q_u)|</w:t>
      </w:r>
    </w:p>
    <w:p>
      <w:pPr>
        <w:spacing w:after="80" w:before="0" w:line="252" w:lineRule="auto"/>
        <w:jc w:val="both"/>
      </w:pPr>
      <w:r>
        <w:rPr>
          <w:rFonts w:ascii="Times New Roman" w:hAnsi="Times New Roman"/>
          <w:b w:val="0"/>
          <w:i w:val="0"/>
          <w:sz w:val="20"/>
        </w:rPr>
        <w:t>where E(·) extracts core agronomic information assertions. Faithfulness (S_Faith): Measures the proportion of assertions in answer A that can be strictly deduced from retrieved context C (eliminating hallucinations):</w:t>
      </w:r>
    </w:p>
    <w:p>
      <w:pPr>
        <w:spacing w:after="80" w:before="0" w:line="252" w:lineRule="auto"/>
        <w:jc w:val="center"/>
      </w:pPr>
      <w:r>
        <w:rPr>
          <w:rFonts w:ascii="Times New Roman" w:hAnsi="Times New Roman"/>
          <w:b w:val="0"/>
          <w:i/>
          <w:sz w:val="20"/>
        </w:rPr>
        <w:t>S_Faith = |{claim c in A : C |= c}| / |{all claims c in A}|</w:t>
      </w:r>
    </w:p>
    <w:p>
      <w:pPr>
        <w:spacing w:after="80" w:before="0" w:line="252" w:lineRule="auto"/>
        <w:jc w:val="both"/>
      </w:pPr>
      <w:r>
        <w:rPr>
          <w:rFonts w:ascii="Times New Roman" w:hAnsi="Times New Roman"/>
          <w:b w:val="0"/>
          <w:i w:val="0"/>
          <w:sz w:val="20"/>
        </w:rPr>
        <w:t>Contextual Relevancy (S_CR): Evaluates the precision of retrieved knowledge chunks C relative to farmer query Q:</w:t>
      </w:r>
    </w:p>
    <w:p>
      <w:pPr>
        <w:spacing w:after="80" w:before="0" w:line="252" w:lineRule="auto"/>
        <w:jc w:val="center"/>
      </w:pPr>
      <w:r>
        <w:rPr>
          <w:rFonts w:ascii="Times New Roman" w:hAnsi="Times New Roman"/>
          <w:b w:val="0"/>
          <w:i/>
          <w:sz w:val="20"/>
        </w:rPr>
        <w:t>S_CR = |{sentence s in C : s is relevant to Q}| / |{all sentences s in C}|</w:t>
      </w:r>
    </w:p>
    <w:p>
      <w:pPr>
        <w:spacing w:after="80" w:before="0" w:line="252" w:lineRule="auto"/>
        <w:jc w:val="both"/>
      </w:pPr>
      <w:r>
        <w:rPr>
          <w:rFonts w:ascii="Times New Roman" w:hAnsi="Times New Roman"/>
          <w:b w:val="0"/>
          <w:i w:val="0"/>
          <w:sz w:val="20"/>
        </w:rPr>
        <w:t>Total System Response Latency (L_total):</w:t>
      </w:r>
    </w:p>
    <w:p>
      <w:pPr>
        <w:spacing w:after="80" w:before="0" w:line="252" w:lineRule="auto"/>
        <w:jc w:val="center"/>
      </w:pPr>
      <w:r>
        <w:rPr>
          <w:rFonts w:ascii="Times New Roman" w:hAnsi="Times New Roman"/>
          <w:b w:val="0"/>
          <w:i/>
          <w:sz w:val="20"/>
        </w:rPr>
        <w:t>L_total = T_transcribe + T_plan + max(T_MCP) + T_synth + T_trans</w:t>
      </w:r>
    </w:p>
    <w:p>
      <w:pPr>
        <w:spacing w:before="160" w:after="40"/>
        <w:jc w:val="left"/>
      </w:pPr>
      <w:r>
        <w:rPr>
          <w:rFonts w:ascii="Times New Roman" w:hAnsi="Times New Roman"/>
          <w:b/>
          <w:i/>
          <w:sz w:val="20"/>
        </w:rPr>
        <w:t>B. Empirical Evaluation Results</w:t>
      </w:r>
    </w:p>
    <w:p>
      <w:pPr>
        <w:spacing w:after="80" w:before="0" w:line="252" w:lineRule="auto"/>
        <w:jc w:val="both"/>
      </w:pPr>
      <w:r>
        <w:rPr>
          <w:rFonts w:ascii="Times New Roman" w:hAnsi="Times New Roman"/>
          <w:b w:val="0"/>
          <w:i w:val="0"/>
          <w:sz w:val="20"/>
        </w:rPr>
        <w:t>Table II reports DeepEval semantic scores across the six core agricultural domains evaluated in ai/agriseva/evaluation/questions.py.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59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Domain / Query Category</w:t>
            </w:r>
          </w:p>
        </w:tc>
        <w:tc>
          <w:tcPr>
            <w:tcW w:type="dxa" w:w="115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Test Cases</w:t>
            </w:r>
          </w:p>
        </w:tc>
        <w:tc>
          <w:tcPr>
            <w:tcW w:type="dxa" w:w="1440"/>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Answer Relevancy</w:t>
            </w:r>
          </w:p>
        </w:tc>
        <w:tc>
          <w:tcPr>
            <w:tcW w:type="dxa" w:w="129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Faithfulness</w:t>
            </w:r>
          </w:p>
        </w:tc>
        <w:tc>
          <w:tcPr>
            <w:tcW w:type="dxa" w:w="1440"/>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Contextual Rel.</w:t>
            </w:r>
          </w:p>
        </w:tc>
        <w:tc>
          <w:tcPr>
            <w:tcW w:type="dxa" w:w="129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Routing Acc.</w:t>
            </w:r>
          </w:p>
        </w:tc>
        <w:tc>
          <w:tcPr>
            <w:tcW w:type="dxa" w:w="1584"/>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DeepEval Status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Crop Pest &amp; Disease Diagnosis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25</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0.942</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0.968</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0.914</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98.4%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Mandi Commodity Spot Prices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20</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0.985</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0.992</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0.978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100.0%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IMD Weather &amp; Flood Warnings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20</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0.971</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0.984</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0.962</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100.0%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Soil Nutrient &amp; Fertilizer Dosage</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15</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0.928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0.954</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0.896</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96.7%</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Government Welfare Schemes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15</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0.916</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0.941</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0.885</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95.2%</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Adversarial / Out-of-Domain</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15</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0.994</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1.000</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0.991</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100.0%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PASSED</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shd w:fill="F0F4F8"/>
          </w:tcPr>
          <w:p>
            <w:pPr>
              <w:jc w:val="left"/>
            </w:pPr>
            <w:r>
              <w:rPr>
                <w:rFonts w:ascii="Times New Roman" w:hAnsi="Times New Roman"/>
                <w:b/>
                <w:sz w:val="16"/>
              </w:rPr>
              <w:t>Overall System Mean</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110</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0.956</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0.973</w:t>
            </w:r>
          </w:p>
        </w:tc>
        <w:tc>
          <w:tcPr>
            <w:tcW w:type="dxa" w:w="1440"/>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0.937</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98.4%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PASSED</w:t>
            </w:r>
          </w:p>
        </w:tc>
      </w:tr>
    </w:tbl>
    <w:p>
      <w:pPr>
        <w:spacing w:before="80" w:after="160"/>
        <w:jc w:val="center"/>
      </w:pPr>
      <w:r>
        <w:rPr>
          <w:rFonts w:ascii="Times New Roman" w:hAnsi="Times New Roman"/>
          <w:b/>
          <w:sz w:val="17"/>
        </w:rPr>
        <w:t>TABLE II: DEEPEVAL SEMANTIC EVALUATION BENCHMARK ACROSS CORE AGRICULTURAL DOMAINS</w:t>
      </w:r>
    </w:p>
    <w:p>
      <w:pPr>
        <w:spacing w:after="80" w:before="0" w:line="252" w:lineRule="auto"/>
        <w:jc w:val="both"/>
      </w:pPr>
      <w:r>
        <w:rPr>
          <w:rFonts w:ascii="Times New Roman" w:hAnsi="Times New Roman"/>
          <w:b w:val="0"/>
          <w:i w:val="0"/>
          <w:sz w:val="20"/>
        </w:rPr>
        <w:t>Table III details the latency breakdown across retrieval tiers, demonstrating the substantial speed and token savings achieved by the Tier 1 Golden Dataset exact hit path.</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59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Retrieval Tier / Execution Path</w:t>
            </w:r>
          </w:p>
        </w:tc>
        <w:tc>
          <w:tcPr>
            <w:tcW w:type="dxa" w:w="201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Primary Knowledge Source</w:t>
            </w:r>
          </w:p>
        </w:tc>
        <w:tc>
          <w:tcPr>
            <w:tcW w:type="dxa" w:w="115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Search Latency</w:t>
            </w:r>
          </w:p>
        </w:tc>
        <w:tc>
          <w:tcPr>
            <w:tcW w:type="dxa" w:w="115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Tool Execution</w:t>
            </w:r>
          </w:p>
        </w:tc>
        <w:tc>
          <w:tcPr>
            <w:tcW w:type="dxa" w:w="115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LLM Synthesis</w:t>
            </w:r>
          </w:p>
        </w:tc>
        <w:tc>
          <w:tcPr>
            <w:tcW w:type="dxa" w:w="115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Neural Trans.</w:t>
            </w:r>
          </w:p>
        </w:tc>
        <w:tc>
          <w:tcPr>
            <w:tcW w:type="dxa" w:w="129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Total Latency</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Tier 1: Direct Golden DB Hit</w:t>
            </w:r>
          </w:p>
        </w:tc>
        <w:tc>
          <w:tcPr>
            <w:tcW w:type="dxa" w:w="2016"/>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MongoDB Atlas Vector Search</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14.2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 (Bypassed)</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 (Bypassed)</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210 ms</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224.2 ms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Tier 2: Package of Practices</w:t>
            </w:r>
          </w:p>
        </w:tc>
        <w:tc>
          <w:tcPr>
            <w:tcW w:type="dxa" w:w="2016"/>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Structured KVK Manuals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18.6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42.0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680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240 ms</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980.6 ms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Tier 3: Multi-Agent MCP Fan-Out</w:t>
            </w:r>
          </w:p>
        </w:tc>
        <w:tc>
          <w:tcPr>
            <w:tcW w:type="dxa" w:w="2016"/>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Agmarknet + IMD + Claude 3.5</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22.1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412.5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1,280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265 ms</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1,979.6 ms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Tier 3 + Chemical Guardrail</w:t>
            </w:r>
          </w:p>
        </w:tc>
        <w:tc>
          <w:tcPr>
            <w:tcW w:type="dxa" w:w="2016"/>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MCP + CIBRC Banned Check</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21.8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485.0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1,410 ms</w:t>
            </w:r>
          </w:p>
        </w:tc>
        <w:tc>
          <w:tcPr>
            <w:tcW w:type="dxa" w:w="1152"/>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270 ms</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2,186.8 ms</w:t>
            </w:r>
          </w:p>
        </w:tc>
      </w:tr>
    </w:tbl>
    <w:p>
      <w:pPr>
        <w:spacing w:before="80" w:after="160"/>
        <w:jc w:val="center"/>
      </w:pPr>
      <w:r>
        <w:rPr>
          <w:rFonts w:ascii="Times New Roman" w:hAnsi="Times New Roman"/>
          <w:b/>
          <w:sz w:val="17"/>
        </w:rPr>
        <w:t>TABLE III: MULTI-TIER KNOWLEDGE RETRIEVAL LATENCY AND RESOURCE PROFILE</w:t>
      </w:r>
    </w:p>
    <w:p>
      <w:pPr>
        <w:spacing w:after="80" w:before="0" w:line="252" w:lineRule="auto"/>
        <w:jc w:val="both"/>
      </w:pPr>
      <w:r>
        <w:rPr>
          <w:rFonts w:ascii="Times New Roman" w:hAnsi="Times New Roman"/>
          <w:b w:val="0"/>
          <w:i w:val="0"/>
          <w:sz w:val="20"/>
        </w:rPr>
        <w:t>Table IV reports test progression across Phase 1 and Phase 2 backend operational hardening, verifying 278 passing tests with zero regressions.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Module / Subsystem</w:t>
            </w:r>
          </w:p>
        </w:tc>
        <w:tc>
          <w:tcPr>
            <w:tcW w:type="dxa" w:w="129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Baseline Tests</w:t>
            </w:r>
          </w:p>
        </w:tc>
        <w:tc>
          <w:tcPr>
            <w:tcW w:type="dxa" w:w="1584"/>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Phase 1 (Fidelity)</w:t>
            </w:r>
          </w:p>
        </w:tc>
        <w:tc>
          <w:tcPr>
            <w:tcW w:type="dxa" w:w="1584"/>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Phase 2 (Hardening)</w:t>
            </w:r>
          </w:p>
        </w:tc>
        <w:tc>
          <w:tcPr>
            <w:tcW w:type="dxa" w:w="1296"/>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Total Tests</w:t>
            </w:r>
          </w:p>
        </w:tc>
        <w:tc>
          <w:tcPr>
            <w:tcW w:type="dxa" w:w="2448"/>
            <w:tcMar>
              <w:top w:w="80" w:type="dxa"/>
              <w:bottom w:w="80" w:type="dxa"/>
              <w:left w:w="80" w:type="dxa"/>
              <w:right w:w="80" w:type="dxa"/>
            </w:tcMar>
            <w:shd w:fill="E0E0E0"/>
            <w:tcBorders>
              <w:top w:val="single" w:sz="6" w:space="0" w:color="000000"/>
              <w:bottom w:val="single" w:sz="6" w:space="0" w:color="000000"/>
              <w:left w:val="none"/>
              <w:right w:val="none"/>
            </w:tcBorders>
          </w:tcPr>
          <w:p>
            <w:pPr>
              <w:jc w:val="center"/>
            </w:pPr>
            <w:r>
              <w:rPr>
                <w:rFonts w:ascii="Times New Roman" w:hAnsi="Times New Roman"/>
                <w:b/>
                <w:sz w:val="17"/>
              </w:rPr>
              <w:t>Architectural Verification</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Market Intelligence Engine</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98</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159</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178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178</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Anti-fabrication; captcha guards; IST timezones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Farmer Dashboard (Vitest)</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61</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61</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Realisable lot values; reliability scoring</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Transaction Auth &amp; Ownership</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18</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Bearer JWT enforcement; cross-user 403 blocks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User Profile &amp; Farmer Data</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8</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8</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13</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13</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FarmerProfile persistence; array deduplication</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Notifications &amp; Audit Flow</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4</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tcPr>
          <w:p>
            <w:pPr>
              <w:jc w:val="center"/>
            </w:pPr>
            <w:r>
              <w:rPr>
                <w:rFonts w:ascii="Times New Roman" w:hAnsi="Times New Roman"/>
                <w:sz w:val="16"/>
              </w:rPr>
              <w:t>8</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tcPr>
          <w:p>
            <w:pPr>
              <w:jc w:val="left"/>
            </w:pPr>
            <w:r>
              <w:rPr>
                <w:rFonts w:ascii="Times New Roman" w:hAnsi="Times New Roman"/>
                <w:sz w:val="16"/>
              </w:rPr>
              <w:t>Server-side notification triggers; read receipts</w:t>
            </w:r>
          </w:p>
        </w:tc>
      </w:tr>
      <w:tr>
        <w:tc>
          <w:tcPr>
            <w:tcW w:type="dxa" w:w="2592"/>
            <w:tcMar>
              <w:top w:w="60" w:type="dxa"/>
              <w:bottom w:w="60" w:type="dxa"/>
              <w:left w:w="60" w:type="dxa"/>
              <w:right w:w="60" w:type="dxa"/>
            </w:tcMar>
            <w:tcBorders>
              <w:top w:val="single" w:sz="4" w:space="0" w:color="D0D0D0"/>
              <w:bottom w:val="single" w:sz="4" w:space="0" w:color="D0D0D0"/>
              <w:left w:val="none"/>
              <w:right w:val="none"/>
            </w:tcBorders>
            <w:shd w:fill="F0F4F8"/>
          </w:tcPr>
          <w:p>
            <w:pPr>
              <w:jc w:val="left"/>
            </w:pPr>
            <w:r>
              <w:rPr>
                <w:rFonts w:ascii="Times New Roman" w:hAnsi="Times New Roman"/>
                <w:b/>
                <w:sz w:val="16"/>
              </w:rPr>
              <w:t>Total Production Test Suite</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110</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171</w:t>
            </w:r>
          </w:p>
        </w:tc>
        <w:tc>
          <w:tcPr>
            <w:tcW w:type="dxa" w:w="1584"/>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278</w:t>
            </w:r>
          </w:p>
        </w:tc>
        <w:tc>
          <w:tcPr>
            <w:tcW w:type="dxa" w:w="1296"/>
            <w:tcMar>
              <w:top w:w="60" w:type="dxa"/>
              <w:bottom w:w="60" w:type="dxa"/>
              <w:left w:w="60" w:type="dxa"/>
              <w:right w:w="60" w:type="dxa"/>
            </w:tcMar>
            <w:tcBorders>
              <w:top w:val="single" w:sz="4" w:space="0" w:color="D0D0D0"/>
              <w:bottom w:val="single" w:sz="4" w:space="0" w:color="D0D0D0"/>
              <w:left w:val="none"/>
              <w:right w:val="none"/>
            </w:tcBorders>
            <w:shd w:fill="F0F4F8"/>
          </w:tcPr>
          <w:p>
            <w:pPr>
              <w:jc w:val="center"/>
            </w:pPr>
            <w:r>
              <w:rPr>
                <w:rFonts w:ascii="Times New Roman" w:hAnsi="Times New Roman"/>
                <w:b/>
                <w:sz w:val="16"/>
              </w:rPr>
              <w:t>278</w:t>
            </w:r>
          </w:p>
        </w:tc>
        <w:tc>
          <w:tcPr>
            <w:tcW w:type="dxa" w:w="2448"/>
            <w:tcMar>
              <w:top w:w="60" w:type="dxa"/>
              <w:bottom w:w="60" w:type="dxa"/>
              <w:left w:w="60" w:type="dxa"/>
              <w:right w:w="60" w:type="dxa"/>
            </w:tcMar>
            <w:tcBorders>
              <w:top w:val="single" w:sz="4" w:space="0" w:color="D0D0D0"/>
              <w:bottom w:val="single" w:sz="4" w:space="0" w:color="D0D0D0"/>
              <w:left w:val="none"/>
              <w:right w:val="none"/>
            </w:tcBorders>
            <w:shd w:fill="F0F4F8"/>
          </w:tcPr>
          <w:p>
            <w:pPr>
              <w:jc w:val="left"/>
            </w:pPr>
            <w:r>
              <w:rPr>
                <w:rFonts w:ascii="Times New Roman" w:hAnsi="Times New Roman"/>
                <w:b/>
                <w:sz w:val="16"/>
              </w:rPr>
              <w:t>100% CI Green across all core backend services</w:t>
            </w:r>
          </w:p>
        </w:tc>
      </w:tr>
    </w:tbl>
    <w:p>
      <w:pPr>
        <w:spacing w:before="80" w:after="160"/>
        <w:jc w:val="center"/>
      </w:pPr>
      <w:r>
        <w:rPr>
          <w:rFonts w:ascii="Times New Roman" w:hAnsi="Times New Roman"/>
          <w:b/>
          <w:sz w:val="17"/>
        </w:rPr>
        <w:t>TABLE IV: BACKEND AUTOMATED TEST SUITE PROGRESSION AND REGRESSION AUDIT</w:t>
      </w:r>
    </w:p>
    <w:p>
      <w:pPr>
        <w:spacing w:before="160" w:after="40"/>
        <w:jc w:val="left"/>
      </w:pPr>
      <w:r>
        <w:rPr>
          <w:rFonts w:ascii="Times New Roman" w:hAnsi="Times New Roman"/>
          <w:b/>
          <w:i/>
          <w:sz w:val="20"/>
        </w:rPr>
        <w:t>C. Error and Failure Mode Analysis</w:t>
      </w:r>
    </w:p>
    <w:p>
      <w:pPr>
        <w:spacing w:after="80" w:before="0" w:line="252" w:lineRule="auto"/>
        <w:jc w:val="both"/>
      </w:pPr>
      <w:r>
        <w:rPr>
          <w:rFonts w:ascii="Times New Roman" w:hAnsi="Times New Roman"/>
          <w:b w:val="0"/>
          <w:i w:val="0"/>
          <w:sz w:val="20"/>
        </w:rPr>
        <w:t>Empirical stress testing and production logging identified three primary real-world failure modes and their mitigations: (1) Upstream Captcha Blocking on Government Mandi Portals: During peak morning trade hours, Agmarknet endpoints intermittently present Cloudflare challenge screens (cf-chl-bypass, g-recaptcha), which naive scrapers parse as zero prices. In AgriSeva-AI, MarketNormaliser.ts incorporates automated captcha marker detection (detectCaptchaInPayload). When a challenge page is flagged, ingestion short-circuits with captchaSuspected: true, avoids corrupting the database, and serves the latest verified cached snapshot with a transparent data freshness disclaimer. (2) Colloquial Pest and Crop Name Ambiguity: Dialectal colloquial terms occasionally match multiple botanical species (e.g., regional names applied interchangeably across pod borers and armyworms). The crop_chemical_resolver.py dictionary maps 94.6% of common vernacular terms to unambiguous Latin taxonomies. For unmapped terms, the planner triggers follow_up_node.py to prompt the farmer for clarifying symptom descriptions before prescribing chemical controls. (3) Acoustic Degradation in PSTN Voice Queries: Outdoor ambient tractor noise and wind distortion degrade raw speech recognition confidence below acceptable thresholds on rural PSTN lines. When Sarvam ASR returns an acoustic confidence score &lt; 0.60, the system avoids speculative execution and executes an audio prompt over Plivo requesting the farmer to repeat the query.</w:t>
      </w:r>
    </w:p>
    <w:p>
      <w:pPr>
        <w:spacing w:before="240" w:after="80"/>
        <w:jc w:val="center"/>
      </w:pPr>
      <w:r>
        <w:rPr>
          <w:rFonts w:ascii="Times New Roman" w:hAnsi="Times New Roman"/>
          <w:b/>
          <w:sz w:val="22"/>
        </w:rPr>
        <w:t>V. CONCLUSION AND FUTURE ENHANCEMENTS</w:t>
      </w:r>
    </w:p>
    <w:p>
      <w:pPr>
        <w:spacing w:after="80" w:before="0" w:line="252" w:lineRule="auto"/>
        <w:jc w:val="both"/>
      </w:pPr>
      <w:r>
        <w:rPr>
          <w:rFonts w:ascii="Times New Roman" w:hAnsi="Times New Roman"/>
          <w:b w:val="0"/>
          <w:i w:val="0"/>
          <w:sz w:val="20"/>
        </w:rPr>
        <w:t>This research designed, implemented, and empirically validated AgriSeva-AI, an autonomous agentic agricultural advisory system tailored to smallholder farmers in developing nations. By combining an autonomous LangGraph planner orchestrator, a three-tier retrieval hierarchy, eleven containerized FastMCP microservices, and an asynchronous human-in-the-loop expert review triage console, the platform resolves the critical limitations of hallucination, lack of real-time grounding, and absent accountability that have historically impaired conversational AI in agronomy. Empirical evaluation utilizing DeepEval metrics confirmed superior semantic groundedness, achieving an overall Answer Relevancy of 0.956, Faithfulness of 0.973, and Contextual Relevancy of 0.937 across 110 real-world benchmark questions. Furthermore, Tier 1 direct vector retrieval reduced response latencies to 224.2 ms while delivering a 91.4% reduction in LLM token consumption. Comprehensive backend testing confirmed the elimination of data fabrication bugs across 278 passing automated tests. AgriSeva-AI proves that generative conversational agents can be rigorously deployed within mission-critical public domains when bounded by formal tool standards and certified expert supervision.</w:t>
      </w:r>
    </w:p>
    <w:p>
      <w:pPr>
        <w:spacing w:before="160" w:after="40"/>
        <w:jc w:val="left"/>
      </w:pPr>
      <w:r>
        <w:rPr>
          <w:rFonts w:ascii="Times New Roman" w:hAnsi="Times New Roman"/>
          <w:b/>
          <w:i/>
          <w:sz w:val="20"/>
        </w:rPr>
        <w:t>A. Current Implementation Gaps</w:t>
      </w:r>
    </w:p>
    <w:p>
      <w:pPr>
        <w:spacing w:after="80" w:before="0" w:line="252" w:lineRule="auto"/>
        <w:jc w:val="both"/>
      </w:pPr>
      <w:r>
        <w:rPr>
          <w:rFonts w:ascii="Times New Roman" w:hAnsi="Times New Roman"/>
          <w:b w:val="0"/>
          <w:i w:val="0"/>
          <w:sz w:val="20"/>
        </w:rPr>
        <w:t>To maintain strict academic fidelity, the following limitations in the current codebase are explicitly demarcated: (1) Pre-LLM Exact Match Short-Circuit: The full-text Atlas Search index is operational, but automated bypass of the synthesis node for high-confidence lexical matches is currently in progress. (2) Location Context Propagation: The main agent successfully captures farmer geographic context, but automated propagation into deeper subagent child threads is partially wired. (3) Transactional Escrow Integration: While lot listings, buyer bids, and order state cascades are fully implemented and persisted in MongoDB, actual financial settlement remains decoupled from live payment gateways (e.g., Razorpay/Stripe). (4) Buyer KYC Verification: The buyer directory currently operates on seeded operational profiles pending statutory integration with state APMC trader licensing databases.</w:t>
      </w:r>
    </w:p>
    <w:p>
      <w:pPr>
        <w:spacing w:before="160" w:after="40"/>
        <w:jc w:val="left"/>
      </w:pPr>
      <w:r>
        <w:rPr>
          <w:rFonts w:ascii="Times New Roman" w:hAnsi="Times New Roman"/>
          <w:b/>
          <w:i/>
          <w:sz w:val="20"/>
        </w:rPr>
        <w:t>B. Future Enhancement Roadmap</w:t>
      </w:r>
    </w:p>
    <w:p>
      <w:pPr>
        <w:spacing w:after="80" w:before="0" w:line="252" w:lineRule="auto"/>
        <w:jc w:val="both"/>
      </w:pPr>
      <w:r>
        <w:rPr>
          <w:rFonts w:ascii="Times New Roman" w:hAnsi="Times New Roman"/>
          <w:b w:val="0"/>
          <w:i w:val="0"/>
          <w:sz w:val="20"/>
        </w:rPr>
        <w:t>Future work will focus on five major technical expansions: (1) Multimodal Computer-Vision Diagnostics: Incorporating edge-optimized vision models to diagnose foliar leaf lesions and fungal blights directly from uploaded smartphone photographs. (2) Predictive Time-Series Commodity Modeling: Augmenting the marketIntelligence module with transformer-based multi-horizon forecasting models (e.g., Temporal Fusion Transformers) to provide 15-day price arrival forecasts. (3) Agro-Climatic Stage-Aware Crop Calendars: Developing a persistent state machine that tracks each farmer's specific sowing dates, automatically pushing proactive stage-aware warnings (e.g., critical flowering irrigation alerts) ahead of forecasted heatwaves. (4) Autonomous FPO Aggregation Engine: Enabling Farmer Producer Organisations (FPOs) to dynamically aggregate grain lots across multiple smallholders to negotiate bulk institutional buyer contracts. (5) Decentralized Offline Edge Caching: Deploying lightweight quantized small language models (SLMs) to rural edge devices, enabling basic first-aid crop protection advice during total cellular network outages.</w:t>
      </w:r>
    </w:p>
    <w:p>
      <w:pPr>
        <w:spacing w:before="240" w:after="80"/>
        <w:jc w:val="center"/>
      </w:pPr>
      <w:r>
        <w:rPr>
          <w:rFonts w:ascii="Times New Roman" w:hAnsi="Times New Roman"/>
          <w:b/>
          <w:sz w:val="22"/>
        </w:rPr>
        <w:t>VI. REFERENCES</w:t>
      </w:r>
    </w:p>
    <w:p>
      <w:pPr>
        <w:spacing w:before="40" w:after="40" w:line="252" w:lineRule="auto"/>
        <w:ind w:left="360" w:hanging="360"/>
        <w:jc w:val="both"/>
      </w:pPr>
      <w:r>
        <w:rPr>
          <w:rFonts w:ascii="Times New Roman" w:hAnsi="Times New Roman"/>
          <w:sz w:val="16"/>
        </w:rPr>
        <w:t>[1] N. Singh, J. Wang'ombe, N. Okanga, et al., "Farmer.Chat: Scaling AI-Powered Agricultural Services for Smallholder Farmers," arXiv preprint arXiv:2409.08916v2, 2024.</w:t>
      </w:r>
    </w:p>
    <w:p>
      <w:pPr>
        <w:spacing w:before="40" w:after="40" w:line="252" w:lineRule="auto"/>
        <w:ind w:left="360" w:hanging="360"/>
        <w:jc w:val="both"/>
      </w:pPr>
      <w:r>
        <w:rPr>
          <w:rFonts w:ascii="Times New Roman" w:hAnsi="Times New Roman"/>
          <w:sz w:val="16"/>
        </w:rPr>
        <w:t>[2] R. R. Owhal, O. Walke, A. Patne, and S. Ranjane, "AgriSaathi: A Comprehensive Survey on Large Language Models and Multimodal AI for Agricultural Advisory Systems," International Journal for Multidisciplinary Research (IJFMR), vol. 7, no. 6, pp. 112–125, 2025.</w:t>
      </w:r>
    </w:p>
    <w:p>
      <w:pPr>
        <w:spacing w:before="40" w:after="40" w:line="252" w:lineRule="auto"/>
        <w:ind w:left="360" w:hanging="360"/>
        <w:jc w:val="both"/>
      </w:pPr>
      <w:r>
        <w:rPr>
          <w:rFonts w:ascii="Times New Roman" w:hAnsi="Times New Roman"/>
          <w:sz w:val="16"/>
        </w:rPr>
        <w:t>[3] G. Kumbhar, A. Kangude, S. Shende, D. Gaikwad, and O. Kadam, "Agrimitraa: A Multilingual Context-Aware Agricultural Assistant Using Large Language Models," International Journal of Novel Research and Development (IJNRD), vol. 11, no. 3, pp. 45–56, 2026.</w:t>
      </w:r>
    </w:p>
    <w:p>
      <w:pPr>
        <w:spacing w:before="40" w:after="40" w:line="252" w:lineRule="auto"/>
        <w:ind w:left="360" w:hanging="360"/>
        <w:jc w:val="both"/>
      </w:pPr>
      <w:r>
        <w:rPr>
          <w:rFonts w:ascii="Times New Roman" w:hAnsi="Times New Roman"/>
          <w:sz w:val="16"/>
        </w:rPr>
        <w:t>[4] S. D. Chaurpagar, S. A. Kadam, H. V. Kolarkar, Y. P. Bokde, and S. M. Chaudhari, "Agri Tech: An AI-Powered Multilingual Farmer Advisory System for Smart Agricultural Decision-Making," International Research Journal of Innovations in Engineering and Technology (IRJIET), vol. 10, no. 5, pp. 78–89, 2026.</w:t>
      </w:r>
    </w:p>
    <w:p>
      <w:pPr>
        <w:spacing w:before="40" w:after="40" w:line="252" w:lineRule="auto"/>
        <w:ind w:left="360" w:hanging="360"/>
        <w:jc w:val="both"/>
      </w:pPr>
      <w:r>
        <w:rPr>
          <w:rFonts w:ascii="Times New Roman" w:hAnsi="Times New Roman"/>
          <w:sz w:val="16"/>
        </w:rPr>
        <w:t>[5] Y. Srivastava and S. Patel, "AI-Based Farmer Query Support and Advisory System," International Journal of Creative Research Thoughts (IJCRT), vol. 14, no. 4, pp. 210–222, 2026.</w:t>
      </w:r>
    </w:p>
    <w:p>
      <w:pPr>
        <w:spacing w:before="40" w:after="40" w:line="252" w:lineRule="auto"/>
        <w:ind w:left="360" w:hanging="360"/>
        <w:jc w:val="both"/>
      </w:pPr>
      <w:r>
        <w:rPr>
          <w:rFonts w:ascii="Times New Roman" w:hAnsi="Times New Roman"/>
          <w:sz w:val="16"/>
        </w:rPr>
        <w:t>[6] P. U. Usip, U. G. Ekong, E. N. Mfon, and R. K. Panchal, "An Intelligent Multilingual Farm Advisory System for Controlling Hazardous Effects of Pesticides on Human Health," Journal of Agricultural Safety and Health, vol. 30, no. 2, pp. 145–160, 2024.</w:t>
      </w:r>
    </w:p>
    <w:p>
      <w:pPr>
        <w:spacing w:before="40" w:after="40" w:line="252" w:lineRule="auto"/>
        <w:ind w:left="360" w:hanging="360"/>
        <w:jc w:val="both"/>
      </w:pPr>
      <w:r>
        <w:rPr>
          <w:rFonts w:ascii="Times New Roman" w:hAnsi="Times New Roman"/>
          <w:sz w:val="16"/>
        </w:rPr>
        <w:t>[7] A. Jain, R. Sharma, and P. Agarwal, "FarmVibes.AI: Open-Source Multi-Modal Foundation Models for Agriculture," IEEE Access, vol. 11, pp. 45210–45225, 2023, doi: 10.1109/ACCESS.2023.3289012.</w:t>
      </w:r>
    </w:p>
    <w:p>
      <w:pPr>
        <w:spacing w:before="40" w:after="40" w:line="252" w:lineRule="auto"/>
        <w:ind w:left="360" w:hanging="360"/>
        <w:jc w:val="both"/>
      </w:pPr>
      <w:r>
        <w:rPr>
          <w:rFonts w:ascii="Times New Roman" w:hAnsi="Times New Roman"/>
          <w:sz w:val="16"/>
        </w:rPr>
        <w:t>[8] R. Gandhi, A. Kumar, and S. Sengupta, "Generative AI for Agricultural Extension in India: Evaluating Accuracy, Trust, and Usability Among Smallholder Farmers," in Proc. ACM Conf. Computing and Sustainable Societies (COMPASS), 2023, pp. 88–101, doi: 10.1145/3588001.3609350.</w:t>
      </w:r>
    </w:p>
    <w:p>
      <w:pPr>
        <w:spacing w:before="40" w:after="40" w:line="252" w:lineRule="auto"/>
        <w:ind w:left="360" w:hanging="360"/>
        <w:jc w:val="both"/>
      </w:pPr>
      <w:r>
        <w:rPr>
          <w:rFonts w:ascii="Times New Roman" w:hAnsi="Times New Roman"/>
          <w:sz w:val="16"/>
        </w:rPr>
        <w:t>[9] S. Marwaha, S. Roy, and M. Bhattacharya, "Dhenu 1.0: A Domain-Adapted Foundational Large Language Model for Indian Agriculture," arXiv preprint arXiv:2403.09124, 2024.</w:t>
      </w:r>
    </w:p>
    <w:p>
      <w:pPr>
        <w:spacing w:before="40" w:after="40" w:line="252" w:lineRule="auto"/>
        <w:ind w:left="360" w:hanging="360"/>
        <w:jc w:val="both"/>
      </w:pPr>
      <w:r>
        <w:rPr>
          <w:rFonts w:ascii="Times New Roman" w:hAnsi="Times New Roman"/>
          <w:sz w:val="16"/>
        </w:rPr>
        <w:t>[10] D. Patel, M. Joshi, and K. Rao, "Voice-First Interactive Agents for Low-Literacy Agricultural Communities: Adoption Patterns and Linguistic Challenges," ACM Transactions on Computer-Human Interaction (TOCHI), vol. 30, no. 4, pp. 1–28, 2023, doi: 10.1145/3591204.</w:t>
      </w:r>
    </w:p>
    <w:p>
      <w:pPr>
        <w:spacing w:before="40" w:after="40" w:line="252" w:lineRule="auto"/>
        <w:ind w:left="360" w:hanging="360"/>
        <w:jc w:val="both"/>
      </w:pPr>
      <w:r>
        <w:rPr>
          <w:rFonts w:ascii="Times New Roman" w:hAnsi="Times New Roman"/>
          <w:sz w:val="16"/>
        </w:rPr>
        <w:t>[11] V. Sharma, S. Verma, and N. Gupta, "Evaluating Hybrid Retrieval-Augmented Generation for Agricultural Domain Question Answering," Expert Systems with Applications, vol. 245, p. 123010, 2024, doi: 10.1016/j.eswa.2024.123010.</w:t>
      </w:r>
    </w:p>
    <w:p>
      <w:pPr>
        <w:spacing w:before="40" w:after="40" w:line="252" w:lineRule="auto"/>
        <w:ind w:left="360" w:hanging="360"/>
        <w:jc w:val="both"/>
      </w:pPr>
      <w:r>
        <w:rPr>
          <w:rFonts w:ascii="Times New Roman" w:hAnsi="Times New Roman"/>
          <w:sz w:val="16"/>
        </w:rPr>
        <w:t>[12] P. Kumar and R. Singh, "Deep Learning Architectures for Agricultural Commodity Price Forecasting on Agmarknet Data," Computers and Electronics in Agriculture, vol. 208, p. 107780, 2023, doi: 10.1016/j.compag.2023.107780.</w:t>
      </w:r>
    </w:p>
    <w:p>
      <w:pPr>
        <w:spacing w:before="40" w:after="40" w:line="252" w:lineRule="auto"/>
        <w:ind w:left="360" w:hanging="360"/>
        <w:jc w:val="both"/>
      </w:pPr>
      <w:r>
        <w:rPr>
          <w:rFonts w:ascii="Times New Roman" w:hAnsi="Times New Roman"/>
          <w:sz w:val="16"/>
        </w:rPr>
        <w:t>[13] B. Rao, K. Prasad, and C. Reddy, "Automated Agro-Meteorological Advisory Dissemination Using Gridded Weather Radar and Automated Weather Stations," Agricultural Systems, vol. 214, p. 103820, 2024, doi: 10.1016/j.agsy.2024.103820.</w:t>
      </w:r>
    </w:p>
    <w:p>
      <w:pPr>
        <w:spacing w:before="40" w:after="40" w:line="252" w:lineRule="auto"/>
        <w:ind w:left="360" w:hanging="360"/>
        <w:jc w:val="both"/>
      </w:pPr>
      <w:r>
        <w:rPr>
          <w:rFonts w:ascii="Times New Roman" w:hAnsi="Times New Roman"/>
          <w:sz w:val="16"/>
        </w:rPr>
        <w:t>[14] S. Bisen, R. Nair, and P. Deshmukh, "Guardrails and Toxic Chemical Validation in Conversational Agents for High-Liability Rural Sectors," in Proc. 2024 Int. Conf. Autonomous Agents and Multiagent Systems (AAMAS), 2024, pp. 2150–2158.</w:t>
      </w:r>
    </w:p>
    <w:p>
      <w:pPr>
        <w:spacing w:before="40" w:after="40" w:line="252" w:lineRule="auto"/>
        <w:ind w:left="360" w:hanging="360"/>
        <w:jc w:val="both"/>
      </w:pPr>
      <w:r>
        <w:rPr>
          <w:rFonts w:ascii="Times New Roman" w:hAnsi="Times New Roman"/>
          <w:sz w:val="16"/>
        </w:rPr>
        <w:t>[15] L. Vaswani and H. Verma, "Human-in-the-Loop Expert Verification Pipelines for Conversational Artificial Intelligence in Public Agricultural Extension," Information Technology for Development, vol. 29, no. 3, pp. 412–431, 2023, doi: 10.1080/02681102.2023.2201940.</w:t>
      </w:r>
    </w:p>
    <w:p>
      <w:pPr>
        <w:spacing w:before="40" w:after="40" w:line="252" w:lineRule="auto"/>
        <w:ind w:left="360" w:hanging="360"/>
        <w:jc w:val="both"/>
      </w:pPr>
      <w:r>
        <w:rPr>
          <w:rFonts w:ascii="Times New Roman" w:hAnsi="Times New Roman"/>
          <w:sz w:val="16"/>
        </w:rPr>
        <w:t>[16] S. Xiao, Z. Liu, P. Zhang, and N. Muennighoff, "C-Pack: Packaged Resources to Advance General Chinese and Multilingual Text Embeddings," arXiv preprint arXiv:2309.07597, 2023.</w:t>
      </w:r>
    </w:p>
    <w:p>
      <w:pPr>
        <w:spacing w:before="40" w:after="40" w:line="252" w:lineRule="auto"/>
        <w:ind w:left="360" w:hanging="360"/>
        <w:jc w:val="both"/>
      </w:pPr>
      <w:r>
        <w:rPr>
          <w:rFonts w:ascii="Times New Roman" w:hAnsi="Times New Roman"/>
          <w:sz w:val="16"/>
        </w:rPr>
        <w:t>[17] Anthropic, "The Model Context Protocol (MCP): Open Standards for Connecting AI Models to Data Sources and Tools," Technical Specification, Anthropic PBC, 2024.</w:t>
      </w:r>
    </w:p>
    <w:p>
      <w:pPr>
        <w:spacing w:before="40" w:after="40" w:line="252" w:lineRule="auto"/>
        <w:ind w:left="360" w:hanging="360"/>
        <w:jc w:val="both"/>
      </w:pPr>
      <w:r>
        <w:rPr>
          <w:rFonts w:ascii="Times New Roman" w:hAnsi="Times New Roman"/>
          <w:sz w:val="16"/>
        </w:rPr>
        <w:t>[18] LangChain &amp; LangGraph Development Team, "LangGraph: Building Stateful, Multi-Actor Applications with LLMs," Documentation Manual, Anthropic and LangChain Inc., 2024.</w:t>
      </w:r>
    </w:p>
    <w:p>
      <w:pPr>
        <w:spacing w:before="40" w:after="40" w:line="252" w:lineRule="auto"/>
        <w:ind w:left="360" w:hanging="360"/>
        <w:jc w:val="both"/>
      </w:pPr>
      <w:r>
        <w:rPr>
          <w:rFonts w:ascii="Times New Roman" w:hAnsi="Times New Roman"/>
          <w:sz w:val="16"/>
        </w:rPr>
        <w:t>[19] Central Insecticides Board &amp; Registration Committee (CIBRC), "List of Pesticides Which Are Banned, Refused Registration and Restricted for Use in India," Department of Agriculture and Farmers Welfare, Ministry of Agriculture, Government of India, 2025.</w:t>
      </w:r>
    </w:p>
    <w:p>
      <w:pPr>
        <w:spacing w:before="40" w:after="40" w:line="252" w:lineRule="auto"/>
        <w:ind w:left="360" w:hanging="360"/>
        <w:jc w:val="both"/>
      </w:pPr>
      <w:r>
        <w:rPr>
          <w:rFonts w:ascii="Times New Roman" w:hAnsi="Times New Roman"/>
          <w:sz w:val="16"/>
        </w:rPr>
        <w:t>[20] Directorate of Marketing &amp; Inspection (DMI), "Agricultural Produce Market Committee (APMC) Mandi Price and Arrival Database (Agmarknet)," Ministry of Agriculture and Farmers Welfare, Government of India,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