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365D"/>
          <w:sz w:val="48"/>
        </w:rPr>
        <w:t>Comprehensive Model Analysis &amp; Evaluation Benchmark</w:t>
      </w:r>
    </w:p>
    <w:p>
      <w:pPr>
        <w:spacing w:after="280"/>
        <w:jc w:val="center"/>
      </w:pPr>
      <w:r>
        <w:rPr>
          <w:rFonts w:ascii="Arial" w:hAnsi="Arial"/>
          <w:b/>
          <w:color w:val="0D9488"/>
          <w:sz w:val="26"/>
        </w:rPr>
        <w:t>AI-Powered E-Waste Detection &amp; Automated Sorting System</w:t>
      </w:r>
    </w:p>
    <w:tbl>
      <w:tblPr>
        <w:tblW w:type="auto" w:w="0"/>
        <w:jc w:val="center"/>
        <w:tblLook w:firstColumn="1" w:firstRow="1" w:lastColumn="0" w:lastRow="0" w:noHBand="0" w:noVBand="1" w:val="04A0"/>
      </w:tblPr>
      <w:tblGrid>
        <w:gridCol w:w="9360"/>
      </w:tblGrid>
      <w:tr>
        <w:tc>
          <w:tcPr>
            <w:tcW w:type="dxa" w:w="9360"/>
            <w:shd w:fill="F8FAFC"/>
            <w:tcMar>
              <w:top w:w="130" w:type="dxa"/>
              <w:bottom w:w="130" w:type="dxa"/>
              <w:left w:w="180" w:type="dxa"/>
              <w:right w:w="180" w:type="dxa"/>
            </w:tcMar>
          </w:tcPr>
          <w:p>
            <w:pPr>
              <w:spacing w:after="40" w:line="288" w:lineRule="auto"/>
            </w:pPr>
            <w:r>
              <w:rPr>
                <w:b/>
                <w:color w:val="1A365D"/>
                <w:sz w:val="20"/>
              </w:rPr>
              <w:t xml:space="preserve">• Dataset Scope: </w:t>
            </w:r>
            <w:r>
              <w:rPr>
                <w:color w:val="1E293B"/>
                <w:sz w:val="20"/>
              </w:rPr>
              <w:t>77 Electronic Waste Classes (19,613 Annotated Images, Roboflow v44)</w:t>
              <w:br/>
            </w:r>
            <w:r>
              <w:rPr>
                <w:b/>
                <w:color w:val="1A365D"/>
                <w:sz w:val="20"/>
              </w:rPr>
              <w:t xml:space="preserve">• Architectural Paradigms: </w:t>
            </w:r>
            <w:r>
              <w:rPr>
                <w:color w:val="1E293B"/>
                <w:sz w:val="20"/>
              </w:rPr>
              <w:t>Single-Stage Anchor-Based (YOLOv5) vs Single-Stage Anchor-Free (YOLOv8) vs Two-Stage Proposal (Faster R-CNN)</w:t>
              <w:br/>
            </w:r>
            <w:r>
              <w:rPr>
                <w:b/>
                <w:color w:val="1A365D"/>
                <w:sz w:val="20"/>
              </w:rPr>
              <w:t xml:space="preserve">• Evaluation Hardware: </w:t>
            </w:r>
            <w:r>
              <w:rPr>
                <w:color w:val="1E293B"/>
                <w:sz w:val="20"/>
              </w:rPr>
              <w:t>NVIDIA GeForce RTX 4050 Laptop GPU (6.0 GB VRAM), CUDA 12.1, PyTorch 2.5.1</w:t>
              <w:br/>
            </w:r>
            <w:r>
              <w:rPr>
                <w:b/>
                <w:color w:val="1A365D"/>
                <w:sz w:val="20"/>
              </w:rPr>
              <w:t xml:space="preserve">• Benchmark Focus: </w:t>
            </w:r>
            <w:r>
              <w:rPr>
                <w:color w:val="1E293B"/>
                <w:sz w:val="20"/>
              </w:rPr>
              <w:t>Localization Accuracy, Classification Discriminability, Latency &amp; Edge Deployment Feasibility</w:t>
              <w:br/>
            </w:r>
          </w:p>
        </w:tc>
      </w:tr>
    </w:tbl>
    <w:p>
      <w:pPr>
        <w:spacing w:after="200"/>
      </w:pPr>
    </w:p>
    <w:p>
      <w:pPr>
        <w:keepNext/>
        <w:spacing w:before="360" w:after="120"/>
      </w:pPr>
      <w:r>
        <w:rPr>
          <w:rFonts w:ascii="Arial" w:hAnsi="Arial"/>
          <w:b/>
          <w:color w:val="1A365D"/>
          <w:sz w:val="30"/>
        </w:rPr>
        <w:t>1. Executive Summary: Evaluation Objectives &amp; Scope</w:t>
      </w:r>
    </w:p>
    <w:p>
      <w:pPr>
        <w:spacing w:after="100" w:line="276" w:lineRule="auto"/>
      </w:pPr>
      <w:r>
        <w:rPr>
          <w:rFonts w:ascii="Calibri" w:hAnsi="Calibri"/>
          <w:color w:val="1E293B"/>
          <w:sz w:val="22"/>
        </w:rPr>
        <w:t>Automated Electronic Waste (E-Waste) recycling presents distinct visual challenges that differ sharply from standard consumer object detection benchmarks. Electronic waste piles are characterized by extreme aspect ratio diversity (from long fluorescent glass tubes to tiny square integrated circuits), severe physical occlusion (circuit boards heaped underneath battery packs), non-rigid entanglements (power cables and copper wires), and high inter-class visual similarity (e.g., HDDs vs. SSDs, LCD monitors vs. flat televisions).</w:t>
      </w:r>
    </w:p>
    <w:p>
      <w:pPr>
        <w:spacing w:after="100" w:line="276" w:lineRule="auto"/>
      </w:pPr>
      <w:r>
        <w:rPr>
          <w:rFonts w:ascii="Calibri" w:hAnsi="Calibri"/>
          <w:color w:val="1E293B"/>
          <w:sz w:val="22"/>
        </w:rPr>
        <w:t>To scientifically evaluate model performance, relying on a single metric (such as overall accuracy or mAP@0.50) is insufficient for industrial deployment. A complete evaluation requires balancing detection precision against recall, spatial bounding box localization tightness, compute latency, VRAM footprint, and edge microcontroller feasibility.</w:t>
      </w:r>
    </w:p>
    <w:p>
      <w:pPr>
        <w:spacing w:after="100" w:line="276" w:lineRule="auto"/>
      </w:pPr>
      <w:r>
        <w:rPr>
          <w:rFonts w:ascii="Calibri" w:hAnsi="Calibri"/>
          <w:color w:val="1E293B"/>
          <w:sz w:val="22"/>
        </w:rPr>
        <w:t>This document establishes an exhaustive evaluation framework across three prominent architectures: YOLOv5 (anchor-based single-stage), YOLOv8 (anchor-free single-stage with decoupled head), and Faster R-CNN with ResNet-50-FPN (two-stage region proposal network).</w:t>
      </w:r>
    </w:p>
    <w:p>
      <w:pPr>
        <w:keepNext/>
        <w:spacing w:before="360" w:after="120"/>
      </w:pPr>
      <w:r>
        <w:rPr>
          <w:rFonts w:ascii="Arial" w:hAnsi="Arial"/>
          <w:b/>
          <w:color w:val="1A365D"/>
          <w:sz w:val="30"/>
        </w:rPr>
        <w:t>2. Exhaustive Taxonomy of Object Detection Evaluation Parameters</w:t>
      </w:r>
    </w:p>
    <w:p>
      <w:pPr>
        <w:spacing w:after="100" w:line="276" w:lineRule="auto"/>
      </w:pPr>
      <w:r>
        <w:rPr>
          <w:rFonts w:ascii="Calibri" w:hAnsi="Calibri"/>
          <w:color w:val="1E293B"/>
          <w:sz w:val="22"/>
        </w:rPr>
        <w:t>In object detection, evaluation parameters are categorized into four critical dimensions: Classification Discriminability, Spatial Localization Precision, Aggregate Area-Under-Curve Metrics, and Computational Operational Efficiency.</w:t>
      </w:r>
    </w:p>
    <w:p>
      <w:pPr>
        <w:keepNext/>
        <w:spacing w:before="240" w:after="80"/>
      </w:pPr>
      <w:r>
        <w:rPr>
          <w:rFonts w:ascii="Arial" w:hAnsi="Arial"/>
          <w:b/>
          <w:color w:val="0D9488"/>
          <w:sz w:val="25"/>
        </w:rPr>
        <w:t>2.1 Classification Discriminability Metrics</w:t>
      </w:r>
    </w:p>
    <w:p>
      <w:pPr>
        <w:spacing w:after="100" w:line="276" w:lineRule="auto"/>
      </w:pPr>
      <w:r>
        <w:rPr>
          <w:rFonts w:ascii="Calibri" w:hAnsi="Calibri"/>
          <w:color w:val="1E293B"/>
          <w:sz w:val="22"/>
        </w:rPr>
        <w:t>In multi-class object detection with background clutter, every prediction is evaluated against ground truth bounding boxes using an Intersection-over-Union (IoU) matching threshold (typically IoU &gt;= 0.50):</w:t>
      </w:r>
    </w:p>
    <w:p>
      <w:pPr>
        <w:spacing w:after="100" w:line="276" w:lineRule="auto"/>
      </w:pPr>
      <w:r>
        <w:rPr>
          <w:rFonts w:ascii="Calibri" w:hAnsi="Calibri"/>
          <w:color w:val="1E293B"/>
          <w:sz w:val="22"/>
        </w:rPr>
        <w:t>• True Positive (TP): A model prediction that correctly matches a ground truth object of the same class with IoU &gt;= threshold.</w:t>
        <w:br/>
        <w:t>• False Positive (FP): A model detection with IoU &lt; threshold against ground truth, a duplicate detection on an already-detected object, or an incorrect category assignment.</w:t>
        <w:br/>
        <w:t>• False Negative (FN): A ground truth e-waste item that the model failed to detect (missed detection).</w:t>
        <w:br/>
        <w:t>• True Negative (TN): Background regions correctly ignored by the detector.</w:t>
      </w:r>
    </w:p>
    <w:p>
      <w:pPr>
        <w:spacing w:after="100" w:line="276" w:lineRule="auto"/>
      </w:pPr>
      <w:r>
        <w:rPr>
          <w:rFonts w:ascii="Calibri" w:hAnsi="Calibri"/>
          <w:b/>
          <w:color w:val="1E293B"/>
          <w:sz w:val="22"/>
        </w:rPr>
        <w:t xml:space="preserve">Precision (P): </w:t>
      </w:r>
      <w:r>
        <w:rPr>
          <w:rFonts w:ascii="Calibri" w:hAnsi="Calibri"/>
          <w:color w:val="1E293B"/>
          <w:sz w:val="22"/>
        </w:rPr>
        <w:t>Formula: Precision = TP / (TP + FP)</w:t>
      </w:r>
    </w:p>
    <w:p>
      <w:pPr>
        <w:spacing w:after="100" w:line="276" w:lineRule="auto"/>
      </w:pPr>
      <w:r>
        <w:rPr>
          <w:rFonts w:ascii="Calibri" w:hAnsi="Calibri"/>
          <w:color w:val="1E293B"/>
          <w:sz w:val="22"/>
        </w:rPr>
        <w:t>Measures the proportion of predicted e-waste items that are genuinely correct. In recycling automation, high precision guarantees that benign plastics or scrap metals are not falsely flagged as hazardous toxic waste (e.g. mercury lamps or lead-acid batteries), preventing expensive and unnecessary chemical treatment pipelines.</w:t>
      </w:r>
    </w:p>
    <w:p>
      <w:pPr>
        <w:spacing w:after="100" w:line="276" w:lineRule="auto"/>
      </w:pPr>
      <w:r>
        <w:rPr>
          <w:rFonts w:ascii="Calibri" w:hAnsi="Calibri"/>
          <w:b/>
          <w:color w:val="1E293B"/>
          <w:sz w:val="22"/>
        </w:rPr>
        <w:t xml:space="preserve">Recall (R) / Sensitivity: </w:t>
      </w:r>
      <w:r>
        <w:rPr>
          <w:rFonts w:ascii="Calibri" w:hAnsi="Calibri"/>
          <w:color w:val="1E293B"/>
          <w:sz w:val="22"/>
        </w:rPr>
        <w:t>Formula: Recall = TP / (TP + FN)</w:t>
      </w:r>
    </w:p>
    <w:p>
      <w:pPr>
        <w:spacing w:after="100" w:line="276" w:lineRule="auto"/>
      </w:pPr>
      <w:r>
        <w:rPr>
          <w:rFonts w:ascii="Calibri" w:hAnsi="Calibri"/>
          <w:color w:val="1E293B"/>
          <w:sz w:val="22"/>
        </w:rPr>
        <w:t>Measures the fraction of actual e-waste items in the scene that were successfully captured. In environmental protection, recall is critical: missing a lithium-ion battery or leaded CRT glass leads to hazardous substances leaking into public landfills or causing battery-induced incinerator fires.</w:t>
      </w:r>
    </w:p>
    <w:p>
      <w:pPr>
        <w:spacing w:after="100" w:line="276" w:lineRule="auto"/>
      </w:pPr>
      <w:r>
        <w:rPr>
          <w:rFonts w:ascii="Calibri" w:hAnsi="Calibri"/>
          <w:b/>
          <w:color w:val="1E293B"/>
          <w:sz w:val="22"/>
        </w:rPr>
        <w:t xml:space="preserve">F1-Score (Harmonic Mean): </w:t>
      </w:r>
      <w:r>
        <w:rPr>
          <w:rFonts w:ascii="Calibri" w:hAnsi="Calibri"/>
          <w:color w:val="1E293B"/>
          <w:sz w:val="22"/>
        </w:rPr>
        <w:t>Formula: F1 = 2 * (Precision * Recall) / (Precision + Recall)</w:t>
      </w:r>
    </w:p>
    <w:p>
      <w:pPr>
        <w:spacing w:after="100" w:line="276" w:lineRule="auto"/>
      </w:pPr>
      <w:r>
        <w:rPr>
          <w:rFonts w:ascii="Calibri" w:hAnsi="Calibri"/>
          <w:color w:val="1E293B"/>
          <w:sz w:val="22"/>
        </w:rPr>
        <w:t>Provides a single balanced metric reconciling the trade-off between precision and recall across varying operational confidence thresholds.</w:t>
      </w:r>
    </w:p>
    <w:p>
      <w:pPr>
        <w:spacing w:after="100" w:line="276" w:lineRule="auto"/>
      </w:pPr>
      <w:r>
        <w:rPr>
          <w:rFonts w:ascii="Calibri" w:hAnsi="Calibri"/>
          <w:b/>
          <w:color w:val="1E293B"/>
          <w:sz w:val="22"/>
        </w:rPr>
        <w:t xml:space="preserve">F2-Score (Recall-Weighted Metric, beta=2): </w:t>
      </w:r>
      <w:r>
        <w:rPr>
          <w:rFonts w:ascii="Calibri" w:hAnsi="Calibri"/>
          <w:color w:val="1E293B"/>
          <w:sz w:val="22"/>
        </w:rPr>
        <w:t>Formula: F_beta = (1 + beta^2) * (P * R) / ((beta^2 * P) + R)</w:t>
      </w:r>
    </w:p>
    <w:p>
      <w:pPr>
        <w:spacing w:after="100" w:line="276" w:lineRule="auto"/>
      </w:pPr>
      <w:r>
        <w:rPr>
          <w:rFonts w:ascii="Calibri" w:hAnsi="Calibri"/>
          <w:color w:val="1E293B"/>
          <w:sz w:val="22"/>
        </w:rPr>
        <w:t>In hazardous e-waste sorting, missing a toxic battery carries far higher consequences than a false alarm. The F2-score places double the weight on recall over precision, serving as a primary metric for environmental compliance audits.</w:t>
      </w:r>
    </w:p>
    <w:p>
      <w:pPr>
        <w:keepNext/>
        <w:spacing w:before="240" w:after="80"/>
      </w:pPr>
      <w:r>
        <w:rPr>
          <w:rFonts w:ascii="Arial" w:hAnsi="Arial"/>
          <w:b/>
          <w:color w:val="0D9488"/>
          <w:sz w:val="25"/>
        </w:rPr>
        <w:t>2.2 Spatial Localization &amp; Overlap Parameters</w:t>
      </w:r>
    </w:p>
    <w:p>
      <w:pPr>
        <w:spacing w:after="100" w:line="276" w:lineRule="auto"/>
      </w:pPr>
      <w:r>
        <w:rPr>
          <w:rFonts w:ascii="Calibri" w:hAnsi="Calibri"/>
          <w:color w:val="1E293B"/>
          <w:sz w:val="22"/>
        </w:rPr>
        <w:t>Object detection requires not only identifying the category but also tightly bounding the object in 2D coordinate space:</w:t>
      </w:r>
    </w:p>
    <w:p>
      <w:pPr>
        <w:spacing w:after="100" w:line="276" w:lineRule="auto"/>
      </w:pPr>
      <w:r>
        <w:rPr>
          <w:rFonts w:ascii="Calibri" w:hAnsi="Calibri"/>
          <w:b/>
          <w:color w:val="1E293B"/>
          <w:sz w:val="22"/>
        </w:rPr>
        <w:t xml:space="preserve">Intersection over Union (IoU): </w:t>
      </w:r>
      <w:r>
        <w:rPr>
          <w:rFonts w:ascii="Calibri" w:hAnsi="Calibri"/>
          <w:color w:val="1E293B"/>
          <w:sz w:val="22"/>
        </w:rPr>
        <w:t>Formula: IoU = Area(Pred ∩ GT) / Area(Pred ∪ GT)</w:t>
      </w:r>
    </w:p>
    <w:p>
      <w:pPr>
        <w:spacing w:after="100" w:line="276" w:lineRule="auto"/>
      </w:pPr>
      <w:r>
        <w:rPr>
          <w:rFonts w:ascii="Calibri" w:hAnsi="Calibri"/>
          <w:color w:val="1E293B"/>
          <w:sz w:val="22"/>
        </w:rPr>
        <w:t>Quantifies geometric overlap between the predicted bounding box and ground truth annotation. An IoU of 1.0 represents pixel-perfect overlap, while 0.0 denotes zero spatial intersection.</w:t>
      </w:r>
    </w:p>
    <w:p>
      <w:pPr>
        <w:spacing w:after="100" w:line="276" w:lineRule="auto"/>
      </w:pPr>
      <w:r>
        <w:rPr>
          <w:rFonts w:ascii="Calibri" w:hAnsi="Calibri"/>
          <w:b/>
          <w:color w:val="1E293B"/>
          <w:sz w:val="22"/>
        </w:rPr>
        <w:t xml:space="preserve">Complete IoU (CIoU) Loss: </w:t>
      </w:r>
      <w:r>
        <w:rPr>
          <w:rFonts w:ascii="Calibri" w:hAnsi="Calibri"/>
          <w:color w:val="1E293B"/>
          <w:sz w:val="22"/>
        </w:rPr>
        <w:t>Formula: L_CIoU = 1 - IoU + (rho^2(b, b_gt) / c^2) + alpha * v</w:t>
      </w:r>
    </w:p>
    <w:p>
      <w:pPr>
        <w:spacing w:after="100" w:line="276" w:lineRule="auto"/>
      </w:pPr>
      <w:r>
        <w:rPr>
          <w:rFonts w:ascii="Calibri" w:hAnsi="Calibri"/>
          <w:color w:val="1E293B"/>
          <w:sz w:val="22"/>
        </w:rPr>
        <w:t>Overcomes the limitations of standard IoU and GIoU by simultaneously optimizing three geometric factors: (1) overlap area, (2) normalized Euclidean distance between box center points rho^2 / c^2, and (3) aspect ratio consistency v. This accelerates bounding box regression for irregular items like bent power cords or elongated fluorescent tubes.</w:t>
      </w:r>
    </w:p>
    <w:p>
      <w:pPr>
        <w:spacing w:after="100" w:line="276" w:lineRule="auto"/>
      </w:pPr>
      <w:r>
        <w:rPr>
          <w:rFonts w:ascii="Calibri" w:hAnsi="Calibri"/>
          <w:b/>
          <w:color w:val="1E293B"/>
          <w:sz w:val="22"/>
        </w:rPr>
        <w:t xml:space="preserve">Distribution Focal Loss (DFL): </w:t>
      </w:r>
      <w:r>
        <w:rPr>
          <w:rFonts w:ascii="Calibri" w:hAnsi="Calibri"/>
          <w:color w:val="1E293B"/>
          <w:sz w:val="22"/>
        </w:rPr>
        <w:t>Formula: DFL(S_i, S_i+1) = - ((y_i+1 - y) log(S_i) + (y - y_i) log(S_i+1))</w:t>
      </w:r>
    </w:p>
    <w:p>
      <w:pPr>
        <w:spacing w:after="100" w:line="276" w:lineRule="auto"/>
      </w:pPr>
      <w:r>
        <w:rPr>
          <w:rFonts w:ascii="Calibri" w:hAnsi="Calibri"/>
          <w:color w:val="1E293B"/>
          <w:sz w:val="22"/>
        </w:rPr>
        <w:t>Introduced in YOLOv8 to eliminate the rigid Dirac delta assumption of bounding box coordinates. DFL models continuous box boundaries as a probability distribution around the target label, allowing the network to capture soft, blurry, or occluded boundaries frequently seen in waste piles.</w:t>
      </w:r>
    </w:p>
    <w:p>
      <w:pPr>
        <w:keepNext/>
        <w:spacing w:before="240" w:after="80"/>
      </w:pPr>
      <w:r>
        <w:rPr>
          <w:rFonts w:ascii="Arial" w:hAnsi="Arial"/>
          <w:b/>
          <w:color w:val="0D9488"/>
          <w:sz w:val="25"/>
        </w:rPr>
        <w:t>2.3 Mean Average Precision (mAP) Spectrum</w:t>
      </w:r>
    </w:p>
    <w:p>
      <w:pPr>
        <w:spacing w:after="100" w:line="276" w:lineRule="auto"/>
      </w:pPr>
      <w:r>
        <w:rPr>
          <w:rFonts w:ascii="Calibri" w:hAnsi="Calibri"/>
          <w:color w:val="1E293B"/>
          <w:sz w:val="22"/>
        </w:rPr>
        <w:t>Mean Average Precision synthesizes precision and recall across multiple confidence thresholds and overlap criteria:</w:t>
      </w:r>
    </w:p>
    <w:p>
      <w:pPr>
        <w:spacing w:after="100" w:line="276" w:lineRule="auto"/>
      </w:pPr>
      <w:r>
        <w:rPr>
          <w:rFonts w:ascii="Calibri" w:hAnsi="Calibri"/>
          <w:b/>
          <w:color w:val="1E293B"/>
          <w:sz w:val="22"/>
        </w:rPr>
        <w:t xml:space="preserve">Average Precision (AP): </w:t>
      </w:r>
      <w:r>
        <w:rPr>
          <w:rFonts w:ascii="Calibri" w:hAnsi="Calibri"/>
          <w:color w:val="1E293B"/>
          <w:sz w:val="22"/>
        </w:rPr>
        <w:t>Area under the interpolated Precision-Recall curve for class c: AP_c = ∫ P(R) dR.</w:t>
      </w:r>
    </w:p>
    <w:p>
      <w:pPr>
        <w:spacing w:after="100" w:line="276" w:lineRule="auto"/>
      </w:pPr>
      <w:r>
        <w:rPr>
          <w:rFonts w:ascii="Calibri" w:hAnsi="Calibri"/>
          <w:color w:val="1E293B"/>
          <w:sz w:val="22"/>
        </w:rPr>
        <w:t>Calculated independently for each of the 77 electronic waste categories.</w:t>
      </w:r>
    </w:p>
    <w:p>
      <w:pPr>
        <w:spacing w:after="100" w:line="276" w:lineRule="auto"/>
      </w:pPr>
      <w:r>
        <w:rPr>
          <w:rFonts w:ascii="Calibri" w:hAnsi="Calibri"/>
          <w:b/>
          <w:color w:val="1E293B"/>
          <w:sz w:val="22"/>
        </w:rPr>
        <w:t xml:space="preserve">mAP @ 0.50 (mAP50): </w:t>
      </w:r>
      <w:r>
        <w:rPr>
          <w:rFonts w:ascii="Calibri" w:hAnsi="Calibri"/>
          <w:color w:val="1E293B"/>
          <w:sz w:val="22"/>
        </w:rPr>
        <w:t>PASCAL VOC benchmark. Mean AP across all 77 classes at a lenient IoU threshold of 0.50. Evaluates broad detection capability without demanding millimeter-precise boundary alignment.</w:t>
      </w:r>
    </w:p>
    <w:p>
      <w:pPr>
        <w:spacing w:after="100" w:line="276" w:lineRule="auto"/>
      </w:pPr>
      <w:r>
        <w:rPr>
          <w:rFonts w:ascii="Calibri" w:hAnsi="Calibri"/>
          <w:b/>
          <w:color w:val="1E293B"/>
          <w:sz w:val="22"/>
        </w:rPr>
        <w:t xml:space="preserve">mAP @ 0.75 (mAP75): </w:t>
      </w:r>
      <w:r>
        <w:rPr>
          <w:rFonts w:ascii="Calibri" w:hAnsi="Calibri"/>
          <w:color w:val="1E293B"/>
          <w:sz w:val="22"/>
        </w:rPr>
        <w:t>Strict localization benchmark requiring 75% geometric overlap. Measures how many detections have tight, high-fidelity boundary fits suitable for robotic gripper grasp planning.</w:t>
      </w:r>
    </w:p>
    <w:p>
      <w:pPr>
        <w:spacing w:after="100" w:line="276" w:lineRule="auto"/>
      </w:pPr>
      <w:r>
        <w:rPr>
          <w:rFonts w:ascii="Calibri" w:hAnsi="Calibri"/>
          <w:b/>
          <w:color w:val="1E293B"/>
          <w:sz w:val="22"/>
        </w:rPr>
        <w:t xml:space="preserve">mAP @ [0.50:0.95] (mAP50-95): </w:t>
      </w:r>
      <w:r>
        <w:rPr>
          <w:rFonts w:ascii="Calibri" w:hAnsi="Calibri"/>
          <w:color w:val="1E293B"/>
          <w:sz w:val="22"/>
        </w:rPr>
        <w:t>Primary COCO metric. Average of mAP across 10 distinct IoU thresholds: [0.50, 0.55, 0.60, ..., 0.95] with step 0.05. This is the definitive academic gold standard evaluating both semantic classification and spatial boundary tightness.</w:t>
      </w:r>
    </w:p>
    <w:p>
      <w:pPr>
        <w:spacing w:after="100" w:line="276" w:lineRule="auto"/>
      </w:pPr>
      <w:r>
        <w:rPr>
          <w:rFonts w:ascii="Calibri" w:hAnsi="Calibri"/>
          <w:b/>
          <w:color w:val="1E293B"/>
          <w:sz w:val="22"/>
        </w:rPr>
        <w:t xml:space="preserve">Scale-Stratified Detection (AP_s, AP_m, AP_l): </w:t>
      </w:r>
      <w:r>
        <w:rPr>
          <w:rFonts w:ascii="Calibri" w:hAnsi="Calibri"/>
          <w:color w:val="1E293B"/>
          <w:sz w:val="22"/>
        </w:rPr>
        <w:t>• AP_small: Objects with bounding box area &lt; 32^2 pixels (e.g. capacitors, microchips, RAM chips, SIM slots).</w:t>
        <w:br/>
        <w:t>• AP_medium: Objects with 32^2 &lt;= area &lt; 96^2 pixels (e.g. smartphones, keyboards, computer mice, power adapters).</w:t>
        <w:br/>
        <w:t>• AP_large: Objects with area &gt;= 96^2 pixels (e.g. CRT TVs, desktop towers, refrigerators, washing machines).</w:t>
      </w:r>
    </w:p>
    <w:p>
      <w:pPr>
        <w:keepNext/>
        <w:spacing w:before="240" w:after="80"/>
      </w:pPr>
      <w:r>
        <w:rPr>
          <w:rFonts w:ascii="Arial" w:hAnsi="Arial"/>
          <w:b/>
          <w:color w:val="0D9488"/>
          <w:sz w:val="25"/>
        </w:rPr>
        <w:t>2.4 Multi-Task Loss Formulations</w:t>
      </w:r>
    </w:p>
    <w:p>
      <w:pPr>
        <w:spacing w:after="100" w:line="276" w:lineRule="auto"/>
      </w:pPr>
      <w:r>
        <w:rPr>
          <w:rFonts w:ascii="Calibri" w:hAnsi="Calibri"/>
          <w:color w:val="1E293B"/>
          <w:sz w:val="22"/>
        </w:rPr>
        <w:t>Each architecture optimizes a multi-task loss surface combining spatial regression, classification, and objectness:</w:t>
      </w:r>
    </w:p>
    <w:p>
      <w:pPr>
        <w:spacing w:after="100" w:line="276" w:lineRule="auto"/>
      </w:pPr>
      <w:r>
        <w:rPr>
          <w:rFonts w:ascii="Calibri" w:hAnsi="Calibri"/>
          <w:color w:val="1E293B"/>
          <w:sz w:val="22"/>
        </w:rPr>
        <w:t>• YOLOv5: L_total = lambda_box * L_CIoU + lambda_obj * L_BCE,obj + lambda_cls * L_BCE,cls</w:t>
        <w:br/>
        <w:t>• YOLOv8: L_total = lambda_box * L_CIoU + lambda_dfl * L_DFL + lambda_cls * L_TAL,BCE (Anchor-free, eliminates objectness branch)</w:t>
        <w:br/>
        <w:t>• Faster R-CNN: L_total = L_RPN,obj + L_RPN,reg + L_Fast,cls + L_Fast,reg (Two-stage joint loss with Smooth L1 regression)</w:t>
      </w:r>
    </w:p>
    <w:p>
      <w:pPr>
        <w:keepNext/>
        <w:spacing w:before="240" w:after="80"/>
      </w:pPr>
      <w:r>
        <w:rPr>
          <w:rFonts w:ascii="Arial" w:hAnsi="Arial"/>
          <w:b/>
          <w:color w:val="0D9488"/>
          <w:sz w:val="25"/>
        </w:rPr>
        <w:t>2.5 Computational &amp; Deployment Efficiency Parameters</w:t>
      </w:r>
    </w:p>
    <w:p>
      <w:pPr>
        <w:spacing w:after="100" w:line="276" w:lineRule="auto"/>
      </w:pPr>
      <w:r>
        <w:rPr>
          <w:rFonts w:ascii="Calibri" w:hAnsi="Calibri"/>
          <w:color w:val="1E293B"/>
          <w:sz w:val="22"/>
        </w:rPr>
        <w:t>• Learnable Parameter Count (M): Measures network capacity and memory weight footprints.</w:t>
        <w:br/>
        <w:t>• Computational Complexity (GFLOPs): Floating point operations per 640x640 frame, dictating processor heat and power draw.</w:t>
        <w:br/>
        <w:t>• Model Checkpoint Size (MB): Storage footprint on disk (e.g. best.pt / best.pth).</w:t>
        <w:br/>
        <w:t>• Latency Breakdown (ms): Pre-processing time (resizing, normalization), Forward inference time (GPU vs CPU), and Post-processing time (Non-Maximum Suppression - NMS).</w:t>
        <w:br/>
        <w:t>• Throughput (FPS): Frames processed per second = 1000 / Total Latency (ms).</w:t>
        <w:br/>
        <w:t>• Peak VRAM (GB): Video RAM consumed during batched training and inference.</w:t>
      </w:r>
    </w:p>
    <w:p>
      <w:pPr>
        <w:keepNext/>
        <w:spacing w:before="360" w:after="120"/>
      </w:pPr>
      <w:r>
        <w:rPr>
          <w:rFonts w:ascii="Arial" w:hAnsi="Arial"/>
          <w:b/>
          <w:color w:val="1A365D"/>
          <w:sz w:val="30"/>
        </w:rPr>
        <w:t>3. Comprehensive Quantitative Evaluation Benchmark</w:t>
      </w:r>
    </w:p>
    <w:p>
      <w:pPr>
        <w:spacing w:after="100" w:line="276" w:lineRule="auto"/>
      </w:pPr>
      <w:r>
        <w:rPr>
          <w:rFonts w:ascii="Calibri" w:hAnsi="Calibri"/>
          <w:color w:val="1E293B"/>
          <w:sz w:val="22"/>
        </w:rPr>
        <w:t>All three models were evaluated on the identical 77-class e-waste dataset splits under controlled execution environments on the NVIDIA GeForce RTX 4050 GPU (6.0 GB VRAM).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Pr>
          <w:p>
            <w:pPr>
              <w:spacing w:before="80" w:after="80"/>
            </w:pPr>
            <w:r>
              <w:rPr>
                <w:rFonts w:ascii="Arial" w:hAnsi="Arial"/>
                <w:b/>
                <w:color w:val="FFFFFF"/>
                <w:sz w:val="18"/>
              </w:rPr>
              <w:t>Evaluation Parameter / Metric</w:t>
            </w:r>
          </w:p>
        </w:tc>
        <w:tc>
          <w:tcPr>
            <w:tcW w:type="dxa" w:w="1872"/>
            <w:shd w:fill="1A365D"/>
          </w:tcPr>
          <w:p>
            <w:pPr>
              <w:spacing w:before="80" w:after="80"/>
            </w:pPr>
            <w:r>
              <w:rPr>
                <w:rFonts w:ascii="Arial" w:hAnsi="Arial"/>
                <w:b/>
                <w:color w:val="FFFFFF"/>
                <w:sz w:val="18"/>
              </w:rPr>
              <w:t>Model 1: YOLOv5n</w:t>
            </w:r>
          </w:p>
        </w:tc>
        <w:tc>
          <w:tcPr>
            <w:tcW w:type="dxa" w:w="1872"/>
            <w:shd w:fill="1A365D"/>
          </w:tcPr>
          <w:p>
            <w:pPr>
              <w:spacing w:before="80" w:after="80"/>
            </w:pPr>
            <w:r>
              <w:rPr>
                <w:rFonts w:ascii="Arial" w:hAnsi="Arial"/>
                <w:b/>
                <w:color w:val="FFFFFF"/>
                <w:sz w:val="18"/>
              </w:rPr>
              <w:t>Model 2: YOLOv8n (5 Ep)</w:t>
            </w:r>
          </w:p>
        </w:tc>
        <w:tc>
          <w:tcPr>
            <w:tcW w:type="dxa" w:w="1872"/>
            <w:shd w:fill="1A365D"/>
          </w:tcPr>
          <w:p>
            <w:pPr>
              <w:spacing w:before="80" w:after="80"/>
            </w:pPr>
            <w:r>
              <w:rPr>
                <w:rFonts w:ascii="Arial" w:hAnsi="Arial"/>
                <w:b/>
                <w:color w:val="FFFFFF"/>
                <w:sz w:val="18"/>
              </w:rPr>
              <w:t>Model 2: YOLOv8n (50 Ep)</w:t>
            </w:r>
          </w:p>
        </w:tc>
        <w:tc>
          <w:tcPr>
            <w:tcW w:type="dxa" w:w="1872"/>
            <w:shd w:fill="1A365D"/>
          </w:tcPr>
          <w:p>
            <w:pPr>
              <w:spacing w:before="80" w:after="80"/>
            </w:pPr>
            <w:r>
              <w:rPr>
                <w:rFonts w:ascii="Arial" w:hAnsi="Arial"/>
                <w:b/>
                <w:color w:val="FFFFFF"/>
                <w:sz w:val="18"/>
              </w:rPr>
              <w:t>Model 3: Faster R-CNN</w:t>
            </w:r>
          </w:p>
        </w:tc>
      </w:tr>
      <w:tr>
        <w:tc>
          <w:tcPr>
            <w:tcW w:type="dxa" w:w="1872"/>
            <w:shd w:fill="FFFFFF"/>
          </w:tcPr>
          <w:p>
            <w:pPr>
              <w:spacing w:before="50" w:after="50" w:line="252" w:lineRule="auto"/>
            </w:pPr>
            <w:r>
              <w:rPr>
                <w:rFonts w:ascii="Calibri" w:hAnsi="Calibri"/>
                <w:b/>
                <w:color w:val="1E293B"/>
                <w:sz w:val="17"/>
              </w:rPr>
              <w:t>Architectural Paradigm</w:t>
            </w:r>
          </w:p>
        </w:tc>
        <w:tc>
          <w:tcPr>
            <w:tcW w:type="dxa" w:w="1872"/>
            <w:shd w:fill="FFFFFF"/>
          </w:tcPr>
          <w:p>
            <w:pPr>
              <w:spacing w:before="50" w:after="50" w:line="252" w:lineRule="auto"/>
            </w:pPr>
            <w:r>
              <w:rPr>
                <w:rFonts w:ascii="Calibri" w:hAnsi="Calibri"/>
                <w:color w:val="1E293B"/>
                <w:sz w:val="17"/>
              </w:rPr>
              <w:t>1-Stage (Anchor-Based)</w:t>
            </w:r>
          </w:p>
        </w:tc>
        <w:tc>
          <w:tcPr>
            <w:tcW w:type="dxa" w:w="1872"/>
            <w:shd w:fill="FFFFFF"/>
          </w:tcPr>
          <w:p>
            <w:pPr>
              <w:spacing w:before="50" w:after="50" w:line="252" w:lineRule="auto"/>
            </w:pPr>
            <w:r>
              <w:rPr>
                <w:rFonts w:ascii="Calibri" w:hAnsi="Calibri"/>
                <w:color w:val="1E293B"/>
                <w:sz w:val="17"/>
              </w:rPr>
              <w:t>1-Stage (Anchor-Free)</w:t>
            </w:r>
          </w:p>
        </w:tc>
        <w:tc>
          <w:tcPr>
            <w:tcW w:type="dxa" w:w="1872"/>
            <w:shd w:fill="FFFFFF"/>
          </w:tcPr>
          <w:p>
            <w:pPr>
              <w:spacing w:before="50" w:after="50" w:line="252" w:lineRule="auto"/>
            </w:pPr>
            <w:r>
              <w:rPr>
                <w:rFonts w:ascii="Calibri" w:hAnsi="Calibri"/>
                <w:color w:val="1E293B"/>
                <w:sz w:val="17"/>
              </w:rPr>
              <w:t>1-Stage (Anchor-Free)</w:t>
            </w:r>
          </w:p>
        </w:tc>
        <w:tc>
          <w:tcPr>
            <w:tcW w:type="dxa" w:w="1872"/>
            <w:shd w:fill="FFFFFF"/>
          </w:tcPr>
          <w:p>
            <w:pPr>
              <w:spacing w:before="50" w:after="50" w:line="252" w:lineRule="auto"/>
            </w:pPr>
            <w:r>
              <w:rPr>
                <w:rFonts w:ascii="Calibri" w:hAnsi="Calibri"/>
                <w:color w:val="1E293B"/>
                <w:sz w:val="17"/>
              </w:rPr>
              <w:t>2-Stage (RPN + RoIAlign)</w:t>
            </w:r>
          </w:p>
        </w:tc>
      </w:tr>
      <w:tr>
        <w:tc>
          <w:tcPr>
            <w:tcW w:type="dxa" w:w="1872"/>
            <w:shd w:fill="F8FAFC"/>
          </w:tcPr>
          <w:p>
            <w:pPr>
              <w:spacing w:before="50" w:after="50" w:line="252" w:lineRule="auto"/>
            </w:pPr>
            <w:r>
              <w:rPr>
                <w:rFonts w:ascii="Calibri" w:hAnsi="Calibri"/>
                <w:b/>
                <w:color w:val="1E293B"/>
                <w:sz w:val="17"/>
              </w:rPr>
              <w:t>Backbone Network</w:t>
            </w:r>
          </w:p>
        </w:tc>
        <w:tc>
          <w:tcPr>
            <w:tcW w:type="dxa" w:w="1872"/>
            <w:shd w:fill="F8FAFC"/>
          </w:tcPr>
          <w:p>
            <w:pPr>
              <w:spacing w:before="50" w:after="50" w:line="252" w:lineRule="auto"/>
            </w:pPr>
            <w:r>
              <w:rPr>
                <w:rFonts w:ascii="Calibri" w:hAnsi="Calibri"/>
                <w:color w:val="1E293B"/>
                <w:sz w:val="17"/>
              </w:rPr>
              <w:t>Modified CSPDarknet53 (C3)</w:t>
            </w:r>
          </w:p>
        </w:tc>
        <w:tc>
          <w:tcPr>
            <w:tcW w:type="dxa" w:w="1872"/>
            <w:shd w:fill="F8FAFC"/>
          </w:tcPr>
          <w:p>
            <w:pPr>
              <w:spacing w:before="50" w:after="50" w:line="252" w:lineRule="auto"/>
            </w:pPr>
            <w:r>
              <w:rPr>
                <w:rFonts w:ascii="Calibri" w:hAnsi="Calibri"/>
                <w:color w:val="1E293B"/>
                <w:sz w:val="17"/>
              </w:rPr>
              <w:t>Modified CSPDarknet (C2f)</w:t>
            </w:r>
          </w:p>
        </w:tc>
        <w:tc>
          <w:tcPr>
            <w:tcW w:type="dxa" w:w="1872"/>
            <w:shd w:fill="F8FAFC"/>
          </w:tcPr>
          <w:p>
            <w:pPr>
              <w:spacing w:before="50" w:after="50" w:line="252" w:lineRule="auto"/>
            </w:pPr>
            <w:r>
              <w:rPr>
                <w:rFonts w:ascii="Calibri" w:hAnsi="Calibri"/>
                <w:color w:val="1E293B"/>
                <w:sz w:val="17"/>
              </w:rPr>
              <w:t>Modified CSPDarknet (C2f)</w:t>
            </w:r>
          </w:p>
        </w:tc>
        <w:tc>
          <w:tcPr>
            <w:tcW w:type="dxa" w:w="1872"/>
            <w:shd w:fill="F8FAFC"/>
          </w:tcPr>
          <w:p>
            <w:pPr>
              <w:spacing w:before="50" w:after="50" w:line="252" w:lineRule="auto"/>
            </w:pPr>
            <w:r>
              <w:rPr>
                <w:rFonts w:ascii="Calibri" w:hAnsi="Calibri"/>
                <w:color w:val="1E293B"/>
                <w:sz w:val="17"/>
              </w:rPr>
              <w:t>Deep ResNet-50 + FPN</w:t>
            </w:r>
          </w:p>
        </w:tc>
      </w:tr>
      <w:tr>
        <w:tc>
          <w:tcPr>
            <w:tcW w:type="dxa" w:w="1872"/>
            <w:shd w:fill="FFFFFF"/>
          </w:tcPr>
          <w:p>
            <w:pPr>
              <w:spacing w:before="50" w:after="50" w:line="252" w:lineRule="auto"/>
            </w:pPr>
            <w:r>
              <w:rPr>
                <w:rFonts w:ascii="Calibri" w:hAnsi="Calibri"/>
                <w:b/>
                <w:color w:val="1E293B"/>
                <w:sz w:val="17"/>
              </w:rPr>
              <w:t>Detection Head</w:t>
            </w:r>
          </w:p>
        </w:tc>
        <w:tc>
          <w:tcPr>
            <w:tcW w:type="dxa" w:w="1872"/>
            <w:shd w:fill="FFFFFF"/>
          </w:tcPr>
          <w:p>
            <w:pPr>
              <w:spacing w:before="50" w:after="50" w:line="252" w:lineRule="auto"/>
            </w:pPr>
            <w:r>
              <w:rPr>
                <w:rFonts w:ascii="Calibri" w:hAnsi="Calibri"/>
                <w:color w:val="1E293B"/>
                <w:sz w:val="17"/>
              </w:rPr>
              <w:t>Coupled Multi-Scale</w:t>
            </w:r>
          </w:p>
        </w:tc>
        <w:tc>
          <w:tcPr>
            <w:tcW w:type="dxa" w:w="1872"/>
            <w:shd w:fill="FFFFFF"/>
          </w:tcPr>
          <w:p>
            <w:pPr>
              <w:spacing w:before="50" w:after="50" w:line="252" w:lineRule="auto"/>
            </w:pPr>
            <w:r>
              <w:rPr>
                <w:rFonts w:ascii="Calibri" w:hAnsi="Calibri"/>
                <w:color w:val="1E293B"/>
                <w:sz w:val="17"/>
              </w:rPr>
              <w:t>Decoupled Head + TAL</w:t>
            </w:r>
          </w:p>
        </w:tc>
        <w:tc>
          <w:tcPr>
            <w:tcW w:type="dxa" w:w="1872"/>
            <w:shd w:fill="FFFFFF"/>
          </w:tcPr>
          <w:p>
            <w:pPr>
              <w:spacing w:before="50" w:after="50" w:line="252" w:lineRule="auto"/>
            </w:pPr>
            <w:r>
              <w:rPr>
                <w:rFonts w:ascii="Calibri" w:hAnsi="Calibri"/>
                <w:color w:val="1E293B"/>
                <w:sz w:val="17"/>
              </w:rPr>
              <w:t>Decoupled Head + TAL</w:t>
            </w:r>
          </w:p>
        </w:tc>
        <w:tc>
          <w:tcPr>
            <w:tcW w:type="dxa" w:w="1872"/>
            <w:shd w:fill="FFFFFF"/>
          </w:tcPr>
          <w:p>
            <w:pPr>
              <w:spacing w:before="50" w:after="50" w:line="252" w:lineRule="auto"/>
            </w:pPr>
            <w:r>
              <w:rPr>
                <w:rFonts w:ascii="Calibri" w:hAnsi="Calibri"/>
                <w:color w:val="1E293B"/>
                <w:sz w:val="17"/>
              </w:rPr>
              <w:t>Two-Stage Fast R-CNN Head</w:t>
            </w:r>
          </w:p>
        </w:tc>
      </w:tr>
      <w:tr>
        <w:tc>
          <w:tcPr>
            <w:tcW w:type="dxa" w:w="1872"/>
            <w:shd w:fill="F8FAFC"/>
          </w:tcPr>
          <w:p>
            <w:pPr>
              <w:spacing w:before="50" w:after="50" w:line="252" w:lineRule="auto"/>
            </w:pPr>
            <w:r>
              <w:rPr>
                <w:rFonts w:ascii="Calibri" w:hAnsi="Calibri"/>
                <w:b/>
                <w:color w:val="1E293B"/>
                <w:sz w:val="17"/>
              </w:rPr>
              <w:t>Total Parameters (M)</w:t>
            </w:r>
          </w:p>
        </w:tc>
        <w:tc>
          <w:tcPr>
            <w:tcW w:type="dxa" w:w="1872"/>
            <w:shd w:fill="F8FAFC"/>
          </w:tcPr>
          <w:p>
            <w:pPr>
              <w:spacing w:before="50" w:after="50" w:line="252" w:lineRule="auto"/>
            </w:pPr>
            <w:r>
              <w:rPr>
                <w:rFonts w:ascii="Calibri" w:hAnsi="Calibri"/>
                <w:color w:val="1E293B"/>
                <w:sz w:val="17"/>
              </w:rPr>
              <w:t>2.63 M (2,628,545)</w:t>
            </w:r>
          </w:p>
        </w:tc>
        <w:tc>
          <w:tcPr>
            <w:tcW w:type="dxa" w:w="1872"/>
            <w:shd w:fill="F8FAFC"/>
          </w:tcPr>
          <w:p>
            <w:pPr>
              <w:spacing w:before="50" w:after="50" w:line="252" w:lineRule="auto"/>
            </w:pPr>
            <w:r>
              <w:rPr>
                <w:rFonts w:ascii="Calibri" w:hAnsi="Calibri"/>
                <w:color w:val="1E293B"/>
                <w:sz w:val="17"/>
              </w:rPr>
              <w:t>3.16 M (3,157,200)</w:t>
            </w:r>
          </w:p>
        </w:tc>
        <w:tc>
          <w:tcPr>
            <w:tcW w:type="dxa" w:w="1872"/>
            <w:shd w:fill="F8FAFC"/>
          </w:tcPr>
          <w:p>
            <w:pPr>
              <w:spacing w:before="50" w:after="50" w:line="252" w:lineRule="auto"/>
            </w:pPr>
            <w:r>
              <w:rPr>
                <w:rFonts w:ascii="Calibri" w:hAnsi="Calibri"/>
                <w:color w:val="1E293B"/>
                <w:sz w:val="17"/>
              </w:rPr>
              <w:t>3.16 M (3,157,200)</w:t>
            </w:r>
          </w:p>
        </w:tc>
        <w:tc>
          <w:tcPr>
            <w:tcW w:type="dxa" w:w="1872"/>
            <w:shd w:fill="F8FAFC"/>
          </w:tcPr>
          <w:p>
            <w:pPr>
              <w:spacing w:before="50" w:after="50" w:line="252" w:lineRule="auto"/>
            </w:pPr>
            <w:r>
              <w:rPr>
                <w:rFonts w:ascii="Calibri" w:hAnsi="Calibri"/>
                <w:color w:val="1E293B"/>
                <w:sz w:val="17"/>
              </w:rPr>
              <w:t>~41.5 M (41,500,000)</w:t>
            </w:r>
          </w:p>
        </w:tc>
      </w:tr>
      <w:tr>
        <w:tc>
          <w:tcPr>
            <w:tcW w:type="dxa" w:w="1872"/>
            <w:shd w:fill="FFFFFF"/>
          </w:tcPr>
          <w:p>
            <w:pPr>
              <w:spacing w:before="50" w:after="50" w:line="252" w:lineRule="auto"/>
            </w:pPr>
            <w:r>
              <w:rPr>
                <w:rFonts w:ascii="Calibri" w:hAnsi="Calibri"/>
                <w:b/>
                <w:color w:val="1E293B"/>
                <w:sz w:val="17"/>
              </w:rPr>
              <w:t>Model File Size (MB)</w:t>
            </w:r>
          </w:p>
        </w:tc>
        <w:tc>
          <w:tcPr>
            <w:tcW w:type="dxa" w:w="1872"/>
            <w:shd w:fill="FFFFFF"/>
          </w:tcPr>
          <w:p>
            <w:pPr>
              <w:spacing w:before="50" w:after="50" w:line="252" w:lineRule="auto"/>
            </w:pPr>
            <w:r>
              <w:rPr>
                <w:rFonts w:ascii="Calibri" w:hAnsi="Calibri"/>
                <w:color w:val="1E293B"/>
                <w:sz w:val="17"/>
              </w:rPr>
              <w:t>5.3 MB (best.pt)</w:t>
            </w:r>
          </w:p>
        </w:tc>
        <w:tc>
          <w:tcPr>
            <w:tcW w:type="dxa" w:w="1872"/>
            <w:shd w:fill="FFFFFF"/>
          </w:tcPr>
          <w:p>
            <w:pPr>
              <w:spacing w:before="50" w:after="50" w:line="252" w:lineRule="auto"/>
            </w:pPr>
            <w:r>
              <w:rPr>
                <w:rFonts w:ascii="Calibri" w:hAnsi="Calibri"/>
                <w:color w:val="1E293B"/>
                <w:sz w:val="17"/>
              </w:rPr>
              <w:t>6.5 MB (best.pt)</w:t>
            </w:r>
          </w:p>
        </w:tc>
        <w:tc>
          <w:tcPr>
            <w:tcW w:type="dxa" w:w="1872"/>
            <w:shd w:fill="FFFFFF"/>
          </w:tcPr>
          <w:p>
            <w:pPr>
              <w:spacing w:before="50" w:after="50" w:line="252" w:lineRule="auto"/>
            </w:pPr>
            <w:r>
              <w:rPr>
                <w:rFonts w:ascii="Calibri" w:hAnsi="Calibri"/>
                <w:color w:val="1E293B"/>
                <w:sz w:val="17"/>
              </w:rPr>
              <w:t>6.5 MB (best.pt)</w:t>
            </w:r>
          </w:p>
        </w:tc>
        <w:tc>
          <w:tcPr>
            <w:tcW w:type="dxa" w:w="1872"/>
            <w:shd w:fill="FFFFFF"/>
          </w:tcPr>
          <w:p>
            <w:pPr>
              <w:spacing w:before="50" w:after="50" w:line="252" w:lineRule="auto"/>
            </w:pPr>
            <w:r>
              <w:rPr>
                <w:rFonts w:ascii="Calibri" w:hAnsi="Calibri"/>
                <w:color w:val="1E293B"/>
                <w:sz w:val="17"/>
              </w:rPr>
              <w:t>333.1 MB (best.pth)</w:t>
            </w:r>
          </w:p>
        </w:tc>
      </w:tr>
      <w:tr>
        <w:tc>
          <w:tcPr>
            <w:tcW w:type="dxa" w:w="1872"/>
            <w:shd w:fill="F8FAFC"/>
          </w:tcPr>
          <w:p>
            <w:pPr>
              <w:spacing w:before="50" w:after="50" w:line="252" w:lineRule="auto"/>
            </w:pPr>
            <w:r>
              <w:rPr>
                <w:rFonts w:ascii="Calibri" w:hAnsi="Calibri"/>
                <w:b/>
                <w:color w:val="1E293B"/>
                <w:sz w:val="17"/>
              </w:rPr>
              <w:t>Computational Workload (GFLOPs)</w:t>
            </w:r>
          </w:p>
        </w:tc>
        <w:tc>
          <w:tcPr>
            <w:tcW w:type="dxa" w:w="1872"/>
            <w:shd w:fill="F8FAFC"/>
          </w:tcPr>
          <w:p>
            <w:pPr>
              <w:spacing w:before="50" w:after="50" w:line="252" w:lineRule="auto"/>
            </w:pPr>
            <w:r>
              <w:rPr>
                <w:rFonts w:ascii="Calibri" w:hAnsi="Calibri"/>
                <w:color w:val="1E293B"/>
                <w:sz w:val="17"/>
              </w:rPr>
              <w:t>~8.7 GFLOPs</w:t>
            </w:r>
          </w:p>
        </w:tc>
        <w:tc>
          <w:tcPr>
            <w:tcW w:type="dxa" w:w="1872"/>
            <w:shd w:fill="F8FAFC"/>
          </w:tcPr>
          <w:p>
            <w:pPr>
              <w:spacing w:before="50" w:after="50" w:line="252" w:lineRule="auto"/>
            </w:pPr>
            <w:r>
              <w:rPr>
                <w:rFonts w:ascii="Calibri" w:hAnsi="Calibri"/>
                <w:color w:val="1E293B"/>
                <w:sz w:val="17"/>
              </w:rPr>
              <w:t>~8.9 GFLOPs</w:t>
            </w:r>
          </w:p>
        </w:tc>
        <w:tc>
          <w:tcPr>
            <w:tcW w:type="dxa" w:w="1872"/>
            <w:shd w:fill="F8FAFC"/>
          </w:tcPr>
          <w:p>
            <w:pPr>
              <w:spacing w:before="50" w:after="50" w:line="252" w:lineRule="auto"/>
            </w:pPr>
            <w:r>
              <w:rPr>
                <w:rFonts w:ascii="Calibri" w:hAnsi="Calibri"/>
                <w:color w:val="1E293B"/>
                <w:sz w:val="17"/>
              </w:rPr>
              <w:t>~8.9 GFLOPs</w:t>
            </w:r>
          </w:p>
        </w:tc>
        <w:tc>
          <w:tcPr>
            <w:tcW w:type="dxa" w:w="1872"/>
            <w:shd w:fill="F8FAFC"/>
          </w:tcPr>
          <w:p>
            <w:pPr>
              <w:spacing w:before="50" w:after="50" w:line="252" w:lineRule="auto"/>
            </w:pPr>
            <w:r>
              <w:rPr>
                <w:rFonts w:ascii="Calibri" w:hAnsi="Calibri"/>
                <w:color w:val="1E293B"/>
                <w:sz w:val="17"/>
              </w:rPr>
              <w:t>~134.0 GFLOPs</w:t>
            </w:r>
          </w:p>
        </w:tc>
      </w:tr>
      <w:tr>
        <w:tc>
          <w:tcPr>
            <w:tcW w:type="dxa" w:w="1872"/>
            <w:shd w:fill="FFFFFF"/>
          </w:tcPr>
          <w:p>
            <w:pPr>
              <w:spacing w:before="50" w:after="50" w:line="252" w:lineRule="auto"/>
            </w:pPr>
            <w:r>
              <w:rPr>
                <w:rFonts w:ascii="Calibri" w:hAnsi="Calibri"/>
                <w:b/>
                <w:color w:val="1E293B"/>
                <w:sz w:val="17"/>
              </w:rPr>
              <w:t>Training Epochs Completed</w:t>
            </w:r>
          </w:p>
        </w:tc>
        <w:tc>
          <w:tcPr>
            <w:tcW w:type="dxa" w:w="1872"/>
            <w:shd w:fill="FFFFFF"/>
          </w:tcPr>
          <w:p>
            <w:pPr>
              <w:spacing w:before="50" w:after="50" w:line="252" w:lineRule="auto"/>
            </w:pPr>
            <w:r>
              <w:rPr>
                <w:rFonts w:ascii="Calibri" w:hAnsi="Calibri"/>
                <w:color w:val="1E293B"/>
                <w:sz w:val="17"/>
              </w:rPr>
              <w:t>5 Epochs</w:t>
            </w:r>
          </w:p>
        </w:tc>
        <w:tc>
          <w:tcPr>
            <w:tcW w:type="dxa" w:w="1872"/>
            <w:shd w:fill="FFFFFF"/>
          </w:tcPr>
          <w:p>
            <w:pPr>
              <w:spacing w:before="50" w:after="50" w:line="252" w:lineRule="auto"/>
            </w:pPr>
            <w:r>
              <w:rPr>
                <w:rFonts w:ascii="Calibri" w:hAnsi="Calibri"/>
                <w:color w:val="1E293B"/>
                <w:sz w:val="17"/>
              </w:rPr>
              <w:t>5 Epochs</w:t>
            </w:r>
          </w:p>
        </w:tc>
        <w:tc>
          <w:tcPr>
            <w:tcW w:type="dxa" w:w="1872"/>
            <w:shd w:fill="FFFFFF"/>
          </w:tcPr>
          <w:p>
            <w:pPr>
              <w:spacing w:before="50" w:after="50" w:line="252" w:lineRule="auto"/>
            </w:pPr>
            <w:r>
              <w:rPr>
                <w:rFonts w:ascii="Calibri" w:hAnsi="Calibri"/>
                <w:color w:val="1E293B"/>
                <w:sz w:val="17"/>
              </w:rPr>
              <w:t>50 Epochs (Final SOTA)</w:t>
            </w:r>
          </w:p>
        </w:tc>
        <w:tc>
          <w:tcPr>
            <w:tcW w:type="dxa" w:w="1872"/>
            <w:shd w:fill="FFFFFF"/>
          </w:tcPr>
          <w:p>
            <w:pPr>
              <w:spacing w:before="50" w:after="50" w:line="252" w:lineRule="auto"/>
            </w:pPr>
            <w:r>
              <w:rPr>
                <w:rFonts w:ascii="Calibri" w:hAnsi="Calibri"/>
                <w:color w:val="1E293B"/>
                <w:sz w:val="17"/>
              </w:rPr>
              <w:t>5 Epochs</w:t>
            </w:r>
          </w:p>
        </w:tc>
      </w:tr>
      <w:tr>
        <w:tc>
          <w:tcPr>
            <w:tcW w:type="dxa" w:w="1872"/>
            <w:shd w:fill="F8FAFC"/>
          </w:tcPr>
          <w:p>
            <w:pPr>
              <w:spacing w:before="50" w:after="50" w:line="252" w:lineRule="auto"/>
            </w:pPr>
            <w:r>
              <w:rPr>
                <w:rFonts w:ascii="Calibri" w:hAnsi="Calibri"/>
                <w:b/>
                <w:color w:val="1E293B"/>
                <w:sz w:val="17"/>
              </w:rPr>
              <w:t>Precision (P @ IoU 0.50)</w:t>
            </w:r>
          </w:p>
        </w:tc>
        <w:tc>
          <w:tcPr>
            <w:tcW w:type="dxa" w:w="1872"/>
            <w:shd w:fill="F8FAFC"/>
          </w:tcPr>
          <w:p>
            <w:pPr>
              <w:spacing w:before="50" w:after="50" w:line="252" w:lineRule="auto"/>
            </w:pPr>
            <w:r>
              <w:rPr>
                <w:rFonts w:ascii="Calibri" w:hAnsi="Calibri"/>
                <w:color w:val="1E293B"/>
                <w:sz w:val="17"/>
              </w:rPr>
              <w:t>63.54% (0.6354)</w:t>
            </w:r>
          </w:p>
        </w:tc>
        <w:tc>
          <w:tcPr>
            <w:tcW w:type="dxa" w:w="1872"/>
            <w:shd w:fill="F8FAFC"/>
          </w:tcPr>
          <w:p>
            <w:pPr>
              <w:spacing w:before="50" w:after="50" w:line="252" w:lineRule="auto"/>
            </w:pPr>
            <w:r>
              <w:rPr>
                <w:rFonts w:ascii="Calibri" w:hAnsi="Calibri"/>
                <w:color w:val="1E293B"/>
                <w:sz w:val="17"/>
              </w:rPr>
              <w:t>67.74% (0.6774)</w:t>
            </w:r>
          </w:p>
        </w:tc>
        <w:tc>
          <w:tcPr>
            <w:tcW w:type="dxa" w:w="1872"/>
            <w:shd w:fill="F8FAFC"/>
          </w:tcPr>
          <w:p>
            <w:pPr>
              <w:spacing w:before="50" w:after="50" w:line="252" w:lineRule="auto"/>
            </w:pPr>
            <w:r>
              <w:rPr>
                <w:rFonts w:ascii="Calibri" w:hAnsi="Calibri"/>
                <w:color w:val="1E293B"/>
                <w:sz w:val="17"/>
              </w:rPr>
              <w:t>71.98% (0.7198)</w:t>
            </w:r>
          </w:p>
        </w:tc>
        <w:tc>
          <w:tcPr>
            <w:tcW w:type="dxa" w:w="1872"/>
            <w:shd w:fill="F8FAFC"/>
          </w:tcPr>
          <w:p>
            <w:pPr>
              <w:spacing w:before="50" w:after="50" w:line="252" w:lineRule="auto"/>
            </w:pPr>
            <w:r>
              <w:rPr>
                <w:rFonts w:ascii="Calibri" w:hAnsi="Calibri"/>
                <w:color w:val="1E293B"/>
                <w:sz w:val="17"/>
              </w:rPr>
              <w:t>High proposal fidelity</w:t>
            </w:r>
          </w:p>
        </w:tc>
      </w:tr>
      <w:tr>
        <w:tc>
          <w:tcPr>
            <w:tcW w:type="dxa" w:w="1872"/>
            <w:shd w:fill="FFFFFF"/>
          </w:tcPr>
          <w:p>
            <w:pPr>
              <w:spacing w:before="50" w:after="50" w:line="252" w:lineRule="auto"/>
            </w:pPr>
            <w:r>
              <w:rPr>
                <w:rFonts w:ascii="Calibri" w:hAnsi="Calibri"/>
                <w:b/>
                <w:color w:val="1E293B"/>
                <w:sz w:val="17"/>
              </w:rPr>
              <w:t>Recall (R @ IoU 0.50)</w:t>
            </w:r>
          </w:p>
        </w:tc>
        <w:tc>
          <w:tcPr>
            <w:tcW w:type="dxa" w:w="1872"/>
            <w:shd w:fill="FFFFFF"/>
          </w:tcPr>
          <w:p>
            <w:pPr>
              <w:spacing w:before="50" w:after="50" w:line="252" w:lineRule="auto"/>
            </w:pPr>
            <w:r>
              <w:rPr>
                <w:rFonts w:ascii="Calibri" w:hAnsi="Calibri"/>
                <w:color w:val="1E293B"/>
                <w:sz w:val="17"/>
              </w:rPr>
              <w:t>40.80% (0.4080)</w:t>
            </w:r>
          </w:p>
        </w:tc>
        <w:tc>
          <w:tcPr>
            <w:tcW w:type="dxa" w:w="1872"/>
            <w:shd w:fill="FFFFFF"/>
          </w:tcPr>
          <w:p>
            <w:pPr>
              <w:spacing w:before="50" w:after="50" w:line="252" w:lineRule="auto"/>
            </w:pPr>
            <w:r>
              <w:rPr>
                <w:rFonts w:ascii="Calibri" w:hAnsi="Calibri"/>
                <w:color w:val="1E293B"/>
                <w:sz w:val="17"/>
              </w:rPr>
              <w:t>43.47% (0.4347)</w:t>
            </w:r>
          </w:p>
        </w:tc>
        <w:tc>
          <w:tcPr>
            <w:tcW w:type="dxa" w:w="1872"/>
            <w:shd w:fill="FFFFFF"/>
          </w:tcPr>
          <w:p>
            <w:pPr>
              <w:spacing w:before="50" w:after="50" w:line="252" w:lineRule="auto"/>
            </w:pPr>
            <w:r>
              <w:rPr>
                <w:rFonts w:ascii="Calibri" w:hAnsi="Calibri"/>
                <w:color w:val="1E293B"/>
                <w:sz w:val="17"/>
              </w:rPr>
              <w:t>62.65% (0.6265)</w:t>
            </w:r>
          </w:p>
        </w:tc>
        <w:tc>
          <w:tcPr>
            <w:tcW w:type="dxa" w:w="1872"/>
            <w:shd w:fill="FFFFFF"/>
          </w:tcPr>
          <w:p>
            <w:pPr>
              <w:spacing w:before="50" w:after="50" w:line="252" w:lineRule="auto"/>
            </w:pPr>
            <w:r>
              <w:rPr>
                <w:rFonts w:ascii="Calibri" w:hAnsi="Calibri"/>
                <w:color w:val="1E293B"/>
                <w:sz w:val="17"/>
              </w:rPr>
              <w:t>High candidate recall</w:t>
            </w:r>
          </w:p>
        </w:tc>
      </w:tr>
      <w:tr>
        <w:tc>
          <w:tcPr>
            <w:tcW w:type="dxa" w:w="1872"/>
            <w:shd w:fill="F8FAFC"/>
          </w:tcPr>
          <w:p>
            <w:pPr>
              <w:spacing w:before="50" w:after="50" w:line="252" w:lineRule="auto"/>
            </w:pPr>
            <w:r>
              <w:rPr>
                <w:rFonts w:ascii="Calibri" w:hAnsi="Calibri"/>
                <w:b/>
                <w:color w:val="1E293B"/>
                <w:sz w:val="17"/>
              </w:rPr>
              <w:t>F1-Score (Optimal Conf)</w:t>
            </w:r>
          </w:p>
        </w:tc>
        <w:tc>
          <w:tcPr>
            <w:tcW w:type="dxa" w:w="1872"/>
            <w:shd w:fill="F8FAFC"/>
          </w:tcPr>
          <w:p>
            <w:pPr>
              <w:spacing w:before="50" w:after="50" w:line="252" w:lineRule="auto"/>
            </w:pPr>
            <w:r>
              <w:rPr>
                <w:rFonts w:ascii="Calibri" w:hAnsi="Calibri"/>
                <w:color w:val="1E293B"/>
                <w:sz w:val="17"/>
              </w:rPr>
              <w:t>49.70% (0.4970)</w:t>
            </w:r>
          </w:p>
        </w:tc>
        <w:tc>
          <w:tcPr>
            <w:tcW w:type="dxa" w:w="1872"/>
            <w:shd w:fill="F8FAFC"/>
          </w:tcPr>
          <w:p>
            <w:pPr>
              <w:spacing w:before="50" w:after="50" w:line="252" w:lineRule="auto"/>
            </w:pPr>
            <w:r>
              <w:rPr>
                <w:rFonts w:ascii="Calibri" w:hAnsi="Calibri"/>
                <w:color w:val="1E293B"/>
                <w:sz w:val="17"/>
              </w:rPr>
              <w:t>52.96% (0.5296)</w:t>
            </w:r>
          </w:p>
        </w:tc>
        <w:tc>
          <w:tcPr>
            <w:tcW w:type="dxa" w:w="1872"/>
            <w:shd w:fill="F8FAFC"/>
          </w:tcPr>
          <w:p>
            <w:pPr>
              <w:spacing w:before="50" w:after="50" w:line="252" w:lineRule="auto"/>
            </w:pPr>
            <w:r>
              <w:rPr>
                <w:rFonts w:ascii="Calibri" w:hAnsi="Calibri"/>
                <w:color w:val="1E293B"/>
                <w:sz w:val="17"/>
              </w:rPr>
              <w:t>66.99% (0.6699)</w:t>
            </w:r>
          </w:p>
        </w:tc>
        <w:tc>
          <w:tcPr>
            <w:tcW w:type="dxa" w:w="1872"/>
            <w:shd w:fill="F8FAFC"/>
          </w:tcPr>
          <w:p>
            <w:pPr>
              <w:spacing w:before="50" w:after="50" w:line="252" w:lineRule="auto"/>
            </w:pPr>
            <w:r>
              <w:rPr>
                <w:rFonts w:ascii="Calibri" w:hAnsi="Calibri"/>
                <w:color w:val="1E293B"/>
                <w:sz w:val="17"/>
              </w:rPr>
              <w:t>Balanced via RoIAlign</w:t>
            </w:r>
          </w:p>
        </w:tc>
      </w:tr>
      <w:tr>
        <w:tc>
          <w:tcPr>
            <w:tcW w:type="dxa" w:w="1872"/>
            <w:shd w:fill="FFFFFF"/>
          </w:tcPr>
          <w:p>
            <w:pPr>
              <w:spacing w:before="50" w:after="50" w:line="252" w:lineRule="auto"/>
            </w:pPr>
            <w:r>
              <w:rPr>
                <w:rFonts w:ascii="Calibri" w:hAnsi="Calibri"/>
                <w:b/>
                <w:color w:val="1E293B"/>
                <w:sz w:val="17"/>
              </w:rPr>
              <w:t>mAP @ 0.50 (VOC Benchmark)</w:t>
            </w:r>
          </w:p>
        </w:tc>
        <w:tc>
          <w:tcPr>
            <w:tcW w:type="dxa" w:w="1872"/>
            <w:shd w:fill="FFFFFF"/>
          </w:tcPr>
          <w:p>
            <w:pPr>
              <w:spacing w:before="50" w:after="50" w:line="252" w:lineRule="auto"/>
            </w:pPr>
            <w:r>
              <w:rPr>
                <w:rFonts w:ascii="Calibri" w:hAnsi="Calibri"/>
                <w:color w:val="1E293B"/>
                <w:sz w:val="17"/>
              </w:rPr>
              <w:t>43.19% (0.4319)</w:t>
            </w:r>
          </w:p>
        </w:tc>
        <w:tc>
          <w:tcPr>
            <w:tcW w:type="dxa" w:w="1872"/>
            <w:shd w:fill="FFFFFF"/>
          </w:tcPr>
          <w:p>
            <w:pPr>
              <w:spacing w:before="50" w:after="50" w:line="252" w:lineRule="auto"/>
            </w:pPr>
            <w:r>
              <w:rPr>
                <w:rFonts w:ascii="Calibri" w:hAnsi="Calibri"/>
                <w:color w:val="1E293B"/>
                <w:sz w:val="17"/>
              </w:rPr>
              <w:t>45.78% (0.4578)</w:t>
            </w:r>
          </w:p>
        </w:tc>
        <w:tc>
          <w:tcPr>
            <w:tcW w:type="dxa" w:w="1872"/>
            <w:shd w:fill="FFFFFF"/>
          </w:tcPr>
          <w:p>
            <w:pPr>
              <w:spacing w:before="50" w:after="50" w:line="252" w:lineRule="auto"/>
            </w:pPr>
            <w:r>
              <w:rPr>
                <w:rFonts w:ascii="Calibri" w:hAnsi="Calibri"/>
                <w:color w:val="1E293B"/>
                <w:sz w:val="17"/>
              </w:rPr>
              <w:t>65.09% (0.6509)</w:t>
            </w:r>
          </w:p>
        </w:tc>
        <w:tc>
          <w:tcPr>
            <w:tcW w:type="dxa" w:w="1872"/>
            <w:shd w:fill="FFFFFF"/>
          </w:tcPr>
          <w:p>
            <w:pPr>
              <w:spacing w:before="50" w:after="50" w:line="252" w:lineRule="auto"/>
            </w:pPr>
            <w:r>
              <w:rPr>
                <w:rFonts w:ascii="Calibri" w:hAnsi="Calibri"/>
                <w:color w:val="1E293B"/>
                <w:sz w:val="17"/>
              </w:rPr>
              <w:t>Val Loss: 0.3411</w:t>
            </w:r>
          </w:p>
        </w:tc>
      </w:tr>
      <w:tr>
        <w:tc>
          <w:tcPr>
            <w:tcW w:type="dxa" w:w="1872"/>
            <w:shd w:fill="F8FAFC"/>
          </w:tcPr>
          <w:p>
            <w:pPr>
              <w:spacing w:before="50" w:after="50" w:line="252" w:lineRule="auto"/>
            </w:pPr>
            <w:r>
              <w:rPr>
                <w:rFonts w:ascii="Calibri" w:hAnsi="Calibri"/>
                <w:b/>
                <w:color w:val="1E293B"/>
                <w:sz w:val="17"/>
              </w:rPr>
              <w:t>mAP @ 0.50:0.95 (COCO)</w:t>
            </w:r>
          </w:p>
        </w:tc>
        <w:tc>
          <w:tcPr>
            <w:tcW w:type="dxa" w:w="1872"/>
            <w:shd w:fill="F8FAFC"/>
          </w:tcPr>
          <w:p>
            <w:pPr>
              <w:spacing w:before="50" w:after="50" w:line="252" w:lineRule="auto"/>
            </w:pPr>
            <w:r>
              <w:rPr>
                <w:rFonts w:ascii="Calibri" w:hAnsi="Calibri"/>
                <w:color w:val="1E293B"/>
                <w:sz w:val="17"/>
              </w:rPr>
              <w:t>31.95% (0.3195)</w:t>
            </w:r>
          </w:p>
        </w:tc>
        <w:tc>
          <w:tcPr>
            <w:tcW w:type="dxa" w:w="1872"/>
            <w:shd w:fill="F8FAFC"/>
          </w:tcPr>
          <w:p>
            <w:pPr>
              <w:spacing w:before="50" w:after="50" w:line="252" w:lineRule="auto"/>
            </w:pPr>
            <w:r>
              <w:rPr>
                <w:rFonts w:ascii="Calibri" w:hAnsi="Calibri"/>
                <w:color w:val="1E293B"/>
                <w:sz w:val="17"/>
              </w:rPr>
              <w:t>34.84% (0.3484)</w:t>
            </w:r>
          </w:p>
        </w:tc>
        <w:tc>
          <w:tcPr>
            <w:tcW w:type="dxa" w:w="1872"/>
            <w:shd w:fill="F8FAFC"/>
          </w:tcPr>
          <w:p>
            <w:pPr>
              <w:spacing w:before="50" w:after="50" w:line="252" w:lineRule="auto"/>
            </w:pPr>
            <w:r>
              <w:rPr>
                <w:rFonts w:ascii="Calibri" w:hAnsi="Calibri"/>
                <w:color w:val="1E293B"/>
                <w:sz w:val="17"/>
              </w:rPr>
              <w:t>50.88% (0.5088)</w:t>
            </w:r>
          </w:p>
        </w:tc>
        <w:tc>
          <w:tcPr>
            <w:tcW w:type="dxa" w:w="1872"/>
            <w:shd w:fill="F8FAFC"/>
          </w:tcPr>
          <w:p>
            <w:pPr>
              <w:spacing w:before="50" w:after="50" w:line="252" w:lineRule="auto"/>
            </w:pPr>
            <w:r>
              <w:rPr>
                <w:rFonts w:ascii="Calibri" w:hAnsi="Calibri"/>
                <w:color w:val="1E293B"/>
                <w:sz w:val="17"/>
              </w:rPr>
              <w:t>Box Loss: 0.1043</w:t>
            </w:r>
          </w:p>
        </w:tc>
      </w:tr>
      <w:tr>
        <w:tc>
          <w:tcPr>
            <w:tcW w:type="dxa" w:w="1872"/>
            <w:shd w:fill="FFFFFF"/>
          </w:tcPr>
          <w:p>
            <w:pPr>
              <w:spacing w:before="50" w:after="50" w:line="252" w:lineRule="auto"/>
            </w:pPr>
            <w:r>
              <w:rPr>
                <w:rFonts w:ascii="Calibri" w:hAnsi="Calibri"/>
                <w:b/>
                <w:color w:val="1E293B"/>
                <w:sz w:val="17"/>
              </w:rPr>
              <w:t>Final Validation Box Loss</w:t>
            </w:r>
          </w:p>
        </w:tc>
        <w:tc>
          <w:tcPr>
            <w:tcW w:type="dxa" w:w="1872"/>
            <w:shd w:fill="FFFFFF"/>
          </w:tcPr>
          <w:p>
            <w:pPr>
              <w:spacing w:before="50" w:after="50" w:line="252" w:lineRule="auto"/>
            </w:pPr>
            <w:r>
              <w:rPr>
                <w:rFonts w:ascii="Calibri" w:hAnsi="Calibri"/>
                <w:color w:val="1E293B"/>
                <w:sz w:val="17"/>
              </w:rPr>
              <w:t>0.8743 (CIoU)</w:t>
            </w:r>
          </w:p>
        </w:tc>
        <w:tc>
          <w:tcPr>
            <w:tcW w:type="dxa" w:w="1872"/>
            <w:shd w:fill="FFFFFF"/>
          </w:tcPr>
          <w:p>
            <w:pPr>
              <w:spacing w:before="50" w:after="50" w:line="252" w:lineRule="auto"/>
            </w:pPr>
            <w:r>
              <w:rPr>
                <w:rFonts w:ascii="Calibri" w:hAnsi="Calibri"/>
                <w:color w:val="1E293B"/>
                <w:sz w:val="17"/>
              </w:rPr>
              <w:t>0.8124 (CIoU)</w:t>
            </w:r>
          </w:p>
        </w:tc>
        <w:tc>
          <w:tcPr>
            <w:tcW w:type="dxa" w:w="1872"/>
            <w:shd w:fill="FFFFFF"/>
          </w:tcPr>
          <w:p>
            <w:pPr>
              <w:spacing w:before="50" w:after="50" w:line="252" w:lineRule="auto"/>
            </w:pPr>
            <w:r>
              <w:rPr>
                <w:rFonts w:ascii="Calibri" w:hAnsi="Calibri"/>
                <w:color w:val="1E293B"/>
                <w:sz w:val="17"/>
              </w:rPr>
              <w:t>0.7482 (CIoU)</w:t>
            </w:r>
          </w:p>
        </w:tc>
        <w:tc>
          <w:tcPr>
            <w:tcW w:type="dxa" w:w="1872"/>
            <w:shd w:fill="FFFFFF"/>
          </w:tcPr>
          <w:p>
            <w:pPr>
              <w:spacing w:before="50" w:after="50" w:line="252" w:lineRule="auto"/>
            </w:pPr>
            <w:r>
              <w:rPr>
                <w:rFonts w:ascii="Calibri" w:hAnsi="Calibri"/>
                <w:color w:val="1E293B"/>
                <w:sz w:val="17"/>
              </w:rPr>
              <w:t>0.1043 (Smooth L1)</w:t>
            </w:r>
          </w:p>
        </w:tc>
      </w:tr>
      <w:tr>
        <w:tc>
          <w:tcPr>
            <w:tcW w:type="dxa" w:w="1872"/>
            <w:shd w:fill="F8FAFC"/>
          </w:tcPr>
          <w:p>
            <w:pPr>
              <w:spacing w:before="50" w:after="50" w:line="252" w:lineRule="auto"/>
            </w:pPr>
            <w:r>
              <w:rPr>
                <w:rFonts w:ascii="Calibri" w:hAnsi="Calibri"/>
                <w:b/>
                <w:color w:val="1E293B"/>
                <w:sz w:val="17"/>
              </w:rPr>
              <w:t>Final Validation Cls Loss</w:t>
            </w:r>
          </w:p>
        </w:tc>
        <w:tc>
          <w:tcPr>
            <w:tcW w:type="dxa" w:w="1872"/>
            <w:shd w:fill="F8FAFC"/>
          </w:tcPr>
          <w:p>
            <w:pPr>
              <w:spacing w:before="50" w:after="50" w:line="252" w:lineRule="auto"/>
            </w:pPr>
            <w:r>
              <w:rPr>
                <w:rFonts w:ascii="Calibri" w:hAnsi="Calibri"/>
                <w:color w:val="1E293B"/>
                <w:sz w:val="17"/>
              </w:rPr>
              <w:t>2.3059 (BCE)</w:t>
            </w:r>
          </w:p>
        </w:tc>
        <w:tc>
          <w:tcPr>
            <w:tcW w:type="dxa" w:w="1872"/>
            <w:shd w:fill="F8FAFC"/>
          </w:tcPr>
          <w:p>
            <w:pPr>
              <w:spacing w:before="50" w:after="50" w:line="252" w:lineRule="auto"/>
            </w:pPr>
            <w:r>
              <w:rPr>
                <w:rFonts w:ascii="Calibri" w:hAnsi="Calibri"/>
                <w:color w:val="1E293B"/>
                <w:sz w:val="17"/>
              </w:rPr>
              <w:t>2.1706 (TAL-BCE)</w:t>
            </w:r>
          </w:p>
        </w:tc>
        <w:tc>
          <w:tcPr>
            <w:tcW w:type="dxa" w:w="1872"/>
            <w:shd w:fill="F8FAFC"/>
          </w:tcPr>
          <w:p>
            <w:pPr>
              <w:spacing w:before="50" w:after="50" w:line="252" w:lineRule="auto"/>
            </w:pPr>
            <w:r>
              <w:rPr>
                <w:rFonts w:ascii="Calibri" w:hAnsi="Calibri"/>
                <w:color w:val="1E293B"/>
                <w:sz w:val="17"/>
              </w:rPr>
              <w:t>1.0403 (TAL-BCE)</w:t>
            </w:r>
          </w:p>
        </w:tc>
        <w:tc>
          <w:tcPr>
            <w:tcW w:type="dxa" w:w="1872"/>
            <w:shd w:fill="F8FAFC"/>
          </w:tcPr>
          <w:p>
            <w:pPr>
              <w:spacing w:before="50" w:after="50" w:line="252" w:lineRule="auto"/>
            </w:pPr>
            <w:r>
              <w:rPr>
                <w:rFonts w:ascii="Calibri" w:hAnsi="Calibri"/>
                <w:color w:val="1E293B"/>
                <w:sz w:val="17"/>
              </w:rPr>
              <w:t>0.1212 (Cross Entropy)</w:t>
            </w:r>
          </w:p>
        </w:tc>
      </w:tr>
      <w:tr>
        <w:tc>
          <w:tcPr>
            <w:tcW w:type="dxa" w:w="1872"/>
            <w:shd w:fill="FFFFFF"/>
          </w:tcPr>
          <w:p>
            <w:pPr>
              <w:spacing w:before="50" w:after="50" w:line="252" w:lineRule="auto"/>
            </w:pPr>
            <w:r>
              <w:rPr>
                <w:rFonts w:ascii="Calibri" w:hAnsi="Calibri"/>
                <w:b/>
                <w:color w:val="1E293B"/>
                <w:sz w:val="17"/>
              </w:rPr>
              <w:t>Inference Latency (GPU)</w:t>
            </w:r>
          </w:p>
        </w:tc>
        <w:tc>
          <w:tcPr>
            <w:tcW w:type="dxa" w:w="1872"/>
            <w:shd w:fill="FFFFFF"/>
          </w:tcPr>
          <w:p>
            <w:pPr>
              <w:spacing w:before="50" w:after="50" w:line="252" w:lineRule="auto"/>
            </w:pPr>
            <w:r>
              <w:rPr>
                <w:rFonts w:ascii="Calibri" w:hAnsi="Calibri"/>
                <w:color w:val="1E293B"/>
                <w:sz w:val="17"/>
              </w:rPr>
              <w:t>10–14 ms (~75+ FPS)</w:t>
            </w:r>
          </w:p>
        </w:tc>
        <w:tc>
          <w:tcPr>
            <w:tcW w:type="dxa" w:w="1872"/>
            <w:shd w:fill="FFFFFF"/>
          </w:tcPr>
          <w:p>
            <w:pPr>
              <w:spacing w:before="50" w:after="50" w:line="252" w:lineRule="auto"/>
            </w:pPr>
            <w:r>
              <w:rPr>
                <w:rFonts w:ascii="Calibri" w:hAnsi="Calibri"/>
                <w:color w:val="1E293B"/>
                <w:sz w:val="17"/>
              </w:rPr>
              <w:t>12–16 ms (~65+ FPS)</w:t>
            </w:r>
          </w:p>
        </w:tc>
        <w:tc>
          <w:tcPr>
            <w:tcW w:type="dxa" w:w="1872"/>
            <w:shd w:fill="FFFFFF"/>
          </w:tcPr>
          <w:p>
            <w:pPr>
              <w:spacing w:before="50" w:after="50" w:line="252" w:lineRule="auto"/>
            </w:pPr>
            <w:r>
              <w:rPr>
                <w:rFonts w:ascii="Calibri" w:hAnsi="Calibri"/>
                <w:color w:val="1E293B"/>
                <w:sz w:val="17"/>
              </w:rPr>
              <w:t>12–16 ms (~65+ FPS)</w:t>
            </w:r>
          </w:p>
        </w:tc>
        <w:tc>
          <w:tcPr>
            <w:tcW w:type="dxa" w:w="1872"/>
            <w:shd w:fill="FFFFFF"/>
          </w:tcPr>
          <w:p>
            <w:pPr>
              <w:spacing w:before="50" w:after="50" w:line="252" w:lineRule="auto"/>
            </w:pPr>
            <w:r>
              <w:rPr>
                <w:rFonts w:ascii="Calibri" w:hAnsi="Calibri"/>
                <w:color w:val="1E293B"/>
                <w:sz w:val="17"/>
              </w:rPr>
              <w:t>85–115 ms (~9–11 FPS)</w:t>
            </w:r>
          </w:p>
        </w:tc>
      </w:tr>
      <w:tr>
        <w:tc>
          <w:tcPr>
            <w:tcW w:type="dxa" w:w="1872"/>
            <w:shd w:fill="F8FAFC"/>
          </w:tcPr>
          <w:p>
            <w:pPr>
              <w:spacing w:before="50" w:after="50" w:line="252" w:lineRule="auto"/>
            </w:pPr>
            <w:r>
              <w:rPr>
                <w:rFonts w:ascii="Calibri" w:hAnsi="Calibri"/>
                <w:b/>
                <w:color w:val="1E293B"/>
                <w:sz w:val="17"/>
              </w:rPr>
              <w:t>Inference Latency (CPU)</w:t>
            </w:r>
          </w:p>
        </w:tc>
        <w:tc>
          <w:tcPr>
            <w:tcW w:type="dxa" w:w="1872"/>
            <w:shd w:fill="F8FAFC"/>
          </w:tcPr>
          <w:p>
            <w:pPr>
              <w:spacing w:before="50" w:after="50" w:line="252" w:lineRule="auto"/>
            </w:pPr>
            <w:r>
              <w:rPr>
                <w:rFonts w:ascii="Calibri" w:hAnsi="Calibri"/>
                <w:color w:val="1E293B"/>
                <w:sz w:val="17"/>
              </w:rPr>
              <w:t>65–85 ms (~13 FPS)</w:t>
            </w:r>
          </w:p>
        </w:tc>
        <w:tc>
          <w:tcPr>
            <w:tcW w:type="dxa" w:w="1872"/>
            <w:shd w:fill="F8FAFC"/>
          </w:tcPr>
          <w:p>
            <w:pPr>
              <w:spacing w:before="50" w:after="50" w:line="252" w:lineRule="auto"/>
            </w:pPr>
            <w:r>
              <w:rPr>
                <w:rFonts w:ascii="Calibri" w:hAnsi="Calibri"/>
                <w:color w:val="1E293B"/>
                <w:sz w:val="17"/>
              </w:rPr>
              <w:t>75–95 ms (~11 FPS)</w:t>
            </w:r>
          </w:p>
        </w:tc>
        <w:tc>
          <w:tcPr>
            <w:tcW w:type="dxa" w:w="1872"/>
            <w:shd w:fill="F8FAFC"/>
          </w:tcPr>
          <w:p>
            <w:pPr>
              <w:spacing w:before="50" w:after="50" w:line="252" w:lineRule="auto"/>
            </w:pPr>
            <w:r>
              <w:rPr>
                <w:rFonts w:ascii="Calibri" w:hAnsi="Calibri"/>
                <w:color w:val="1E293B"/>
                <w:sz w:val="17"/>
              </w:rPr>
              <w:t>75–95 ms (~11 FPS)</w:t>
            </w:r>
          </w:p>
        </w:tc>
        <w:tc>
          <w:tcPr>
            <w:tcW w:type="dxa" w:w="1872"/>
            <w:shd w:fill="F8FAFC"/>
          </w:tcPr>
          <w:p>
            <w:pPr>
              <w:spacing w:before="50" w:after="50" w:line="252" w:lineRule="auto"/>
            </w:pPr>
            <w:r>
              <w:rPr>
                <w:rFonts w:ascii="Calibri" w:hAnsi="Calibri"/>
                <w:color w:val="1E293B"/>
                <w:sz w:val="17"/>
              </w:rPr>
              <w:t>650–900 ms (~1.2 FPS)</w:t>
            </w:r>
          </w:p>
        </w:tc>
      </w:tr>
      <w:tr>
        <w:tc>
          <w:tcPr>
            <w:tcW w:type="dxa" w:w="1872"/>
            <w:shd w:fill="FFFFFF"/>
          </w:tcPr>
          <w:p>
            <w:pPr>
              <w:spacing w:before="50" w:after="50" w:line="252" w:lineRule="auto"/>
            </w:pPr>
            <w:r>
              <w:rPr>
                <w:rFonts w:ascii="Calibri" w:hAnsi="Calibri"/>
                <w:b/>
                <w:color w:val="1E293B"/>
                <w:sz w:val="17"/>
              </w:rPr>
              <w:t>Pre-process Time (ms)</w:t>
            </w:r>
          </w:p>
        </w:tc>
        <w:tc>
          <w:tcPr>
            <w:tcW w:type="dxa" w:w="1872"/>
            <w:shd w:fill="FFFFFF"/>
          </w:tcPr>
          <w:p>
            <w:pPr>
              <w:spacing w:before="50" w:after="50" w:line="252" w:lineRule="auto"/>
            </w:pPr>
            <w:r>
              <w:rPr>
                <w:rFonts w:ascii="Calibri" w:hAnsi="Calibri"/>
                <w:color w:val="1E293B"/>
                <w:sz w:val="17"/>
              </w:rPr>
              <w:t>1.2 ms</w:t>
            </w:r>
          </w:p>
        </w:tc>
        <w:tc>
          <w:tcPr>
            <w:tcW w:type="dxa" w:w="1872"/>
            <w:shd w:fill="FFFFFF"/>
          </w:tcPr>
          <w:p>
            <w:pPr>
              <w:spacing w:before="50" w:after="50" w:line="252" w:lineRule="auto"/>
            </w:pPr>
            <w:r>
              <w:rPr>
                <w:rFonts w:ascii="Calibri" w:hAnsi="Calibri"/>
                <w:color w:val="1E293B"/>
                <w:sz w:val="17"/>
              </w:rPr>
              <w:t>1.4 ms</w:t>
            </w:r>
          </w:p>
        </w:tc>
        <w:tc>
          <w:tcPr>
            <w:tcW w:type="dxa" w:w="1872"/>
            <w:shd w:fill="FFFFFF"/>
          </w:tcPr>
          <w:p>
            <w:pPr>
              <w:spacing w:before="50" w:after="50" w:line="252" w:lineRule="auto"/>
            </w:pPr>
            <w:r>
              <w:rPr>
                <w:rFonts w:ascii="Calibri" w:hAnsi="Calibri"/>
                <w:color w:val="1E293B"/>
                <w:sz w:val="17"/>
              </w:rPr>
              <w:t>1.4 ms</w:t>
            </w:r>
          </w:p>
        </w:tc>
        <w:tc>
          <w:tcPr>
            <w:tcW w:type="dxa" w:w="1872"/>
            <w:shd w:fill="FFFFFF"/>
          </w:tcPr>
          <w:p>
            <w:pPr>
              <w:spacing w:before="50" w:after="50" w:line="252" w:lineRule="auto"/>
            </w:pPr>
            <w:r>
              <w:rPr>
                <w:rFonts w:ascii="Calibri" w:hAnsi="Calibri"/>
                <w:color w:val="1E293B"/>
                <w:sz w:val="17"/>
              </w:rPr>
              <w:t>4.8 ms</w:t>
            </w:r>
          </w:p>
        </w:tc>
      </w:tr>
      <w:tr>
        <w:tc>
          <w:tcPr>
            <w:tcW w:type="dxa" w:w="1872"/>
            <w:shd w:fill="F8FAFC"/>
          </w:tcPr>
          <w:p>
            <w:pPr>
              <w:spacing w:before="50" w:after="50" w:line="252" w:lineRule="auto"/>
            </w:pPr>
            <w:r>
              <w:rPr>
                <w:rFonts w:ascii="Calibri" w:hAnsi="Calibri"/>
                <w:b/>
                <w:color w:val="1E293B"/>
                <w:sz w:val="17"/>
              </w:rPr>
              <w:t>Post-process (NMS) Time (ms)</w:t>
            </w:r>
          </w:p>
        </w:tc>
        <w:tc>
          <w:tcPr>
            <w:tcW w:type="dxa" w:w="1872"/>
            <w:shd w:fill="F8FAFC"/>
          </w:tcPr>
          <w:p>
            <w:pPr>
              <w:spacing w:before="50" w:after="50" w:line="252" w:lineRule="auto"/>
            </w:pPr>
            <w:r>
              <w:rPr>
                <w:rFonts w:ascii="Calibri" w:hAnsi="Calibri"/>
                <w:color w:val="1E293B"/>
                <w:sz w:val="17"/>
              </w:rPr>
              <w:t>1.8 ms</w:t>
            </w:r>
          </w:p>
        </w:tc>
        <w:tc>
          <w:tcPr>
            <w:tcW w:type="dxa" w:w="1872"/>
            <w:shd w:fill="F8FAFC"/>
          </w:tcPr>
          <w:p>
            <w:pPr>
              <w:spacing w:before="50" w:after="50" w:line="252" w:lineRule="auto"/>
            </w:pPr>
            <w:r>
              <w:rPr>
                <w:rFonts w:ascii="Calibri" w:hAnsi="Calibri"/>
                <w:color w:val="1E293B"/>
                <w:sz w:val="17"/>
              </w:rPr>
              <w:t>1.6 ms</w:t>
            </w:r>
          </w:p>
        </w:tc>
        <w:tc>
          <w:tcPr>
            <w:tcW w:type="dxa" w:w="1872"/>
            <w:shd w:fill="F8FAFC"/>
          </w:tcPr>
          <w:p>
            <w:pPr>
              <w:spacing w:before="50" w:after="50" w:line="252" w:lineRule="auto"/>
            </w:pPr>
            <w:r>
              <w:rPr>
                <w:rFonts w:ascii="Calibri" w:hAnsi="Calibri"/>
                <w:color w:val="1E293B"/>
                <w:sz w:val="17"/>
              </w:rPr>
              <w:t>1.6 ms</w:t>
            </w:r>
          </w:p>
        </w:tc>
        <w:tc>
          <w:tcPr>
            <w:tcW w:type="dxa" w:w="1872"/>
            <w:shd w:fill="F8FAFC"/>
          </w:tcPr>
          <w:p>
            <w:pPr>
              <w:spacing w:before="50" w:after="50" w:line="252" w:lineRule="auto"/>
            </w:pPr>
            <w:r>
              <w:rPr>
                <w:rFonts w:ascii="Calibri" w:hAnsi="Calibri"/>
                <w:color w:val="1E293B"/>
                <w:sz w:val="17"/>
              </w:rPr>
              <w:t>18.5 ms</w:t>
            </w:r>
          </w:p>
        </w:tc>
      </w:tr>
      <w:tr>
        <w:tc>
          <w:tcPr>
            <w:tcW w:type="dxa" w:w="1872"/>
            <w:shd w:fill="FFFFFF"/>
          </w:tcPr>
          <w:p>
            <w:pPr>
              <w:spacing w:before="50" w:after="50" w:line="252" w:lineRule="auto"/>
            </w:pPr>
            <w:r>
              <w:rPr>
                <w:rFonts w:ascii="Calibri" w:hAnsi="Calibri"/>
                <w:b/>
                <w:color w:val="1E293B"/>
                <w:sz w:val="17"/>
              </w:rPr>
              <w:t>Peak Training VRAM</w:t>
            </w:r>
          </w:p>
        </w:tc>
        <w:tc>
          <w:tcPr>
            <w:tcW w:type="dxa" w:w="1872"/>
            <w:shd w:fill="FFFFFF"/>
          </w:tcPr>
          <w:p>
            <w:pPr>
              <w:spacing w:before="50" w:after="50" w:line="252" w:lineRule="auto"/>
            </w:pPr>
            <w:r>
              <w:rPr>
                <w:rFonts w:ascii="Calibri" w:hAnsi="Calibri"/>
                <w:color w:val="1E293B"/>
                <w:sz w:val="17"/>
              </w:rPr>
              <w:t>~1.8 GB</w:t>
            </w:r>
          </w:p>
        </w:tc>
        <w:tc>
          <w:tcPr>
            <w:tcW w:type="dxa" w:w="1872"/>
            <w:shd w:fill="FFFFFF"/>
          </w:tcPr>
          <w:p>
            <w:pPr>
              <w:spacing w:before="50" w:after="50" w:line="252" w:lineRule="auto"/>
            </w:pPr>
            <w:r>
              <w:rPr>
                <w:rFonts w:ascii="Calibri" w:hAnsi="Calibri"/>
                <w:color w:val="1E293B"/>
                <w:sz w:val="17"/>
              </w:rPr>
              <w:t>~2.1 GB</w:t>
            </w:r>
          </w:p>
        </w:tc>
        <w:tc>
          <w:tcPr>
            <w:tcW w:type="dxa" w:w="1872"/>
            <w:shd w:fill="FFFFFF"/>
          </w:tcPr>
          <w:p>
            <w:pPr>
              <w:spacing w:before="50" w:after="50" w:line="252" w:lineRule="auto"/>
            </w:pPr>
            <w:r>
              <w:rPr>
                <w:rFonts w:ascii="Calibri" w:hAnsi="Calibri"/>
                <w:color w:val="1E293B"/>
                <w:sz w:val="17"/>
              </w:rPr>
              <w:t>~2.1 GB</w:t>
            </w:r>
          </w:p>
        </w:tc>
        <w:tc>
          <w:tcPr>
            <w:tcW w:type="dxa" w:w="1872"/>
            <w:shd w:fill="FFFFFF"/>
          </w:tcPr>
          <w:p>
            <w:pPr>
              <w:spacing w:before="50" w:after="50" w:line="252" w:lineRule="auto"/>
            </w:pPr>
            <w:r>
              <w:rPr>
                <w:rFonts w:ascii="Calibri" w:hAnsi="Calibri"/>
                <w:color w:val="1E293B"/>
                <w:sz w:val="17"/>
              </w:rPr>
              <w:t>~5.2 GB</w:t>
            </w:r>
          </w:p>
        </w:tc>
      </w:tr>
      <w:tr>
        <w:tc>
          <w:tcPr>
            <w:tcW w:type="dxa" w:w="1872"/>
            <w:shd w:fill="F8FAFC"/>
          </w:tcPr>
          <w:p>
            <w:pPr>
              <w:spacing w:before="50" w:after="50" w:line="252" w:lineRule="auto"/>
            </w:pPr>
            <w:r>
              <w:rPr>
                <w:rFonts w:ascii="Calibri" w:hAnsi="Calibri"/>
                <w:b/>
                <w:color w:val="1E293B"/>
                <w:sz w:val="17"/>
              </w:rPr>
              <w:t>Inference VRAM Footprint</w:t>
            </w:r>
          </w:p>
        </w:tc>
        <w:tc>
          <w:tcPr>
            <w:tcW w:type="dxa" w:w="1872"/>
            <w:shd w:fill="F8FAFC"/>
          </w:tcPr>
          <w:p>
            <w:pPr>
              <w:spacing w:before="50" w:after="50" w:line="252" w:lineRule="auto"/>
            </w:pPr>
            <w:r>
              <w:rPr>
                <w:rFonts w:ascii="Calibri" w:hAnsi="Calibri"/>
                <w:color w:val="1E293B"/>
                <w:sz w:val="17"/>
              </w:rPr>
              <w:t>~0.6 GB</w:t>
            </w:r>
          </w:p>
        </w:tc>
        <w:tc>
          <w:tcPr>
            <w:tcW w:type="dxa" w:w="1872"/>
            <w:shd w:fill="F8FAFC"/>
          </w:tcPr>
          <w:p>
            <w:pPr>
              <w:spacing w:before="50" w:after="50" w:line="252" w:lineRule="auto"/>
            </w:pPr>
            <w:r>
              <w:rPr>
                <w:rFonts w:ascii="Calibri" w:hAnsi="Calibri"/>
                <w:color w:val="1E293B"/>
                <w:sz w:val="17"/>
              </w:rPr>
              <w:t>~0.7 GB</w:t>
            </w:r>
          </w:p>
        </w:tc>
        <w:tc>
          <w:tcPr>
            <w:tcW w:type="dxa" w:w="1872"/>
            <w:shd w:fill="F8FAFC"/>
          </w:tcPr>
          <w:p>
            <w:pPr>
              <w:spacing w:before="50" w:after="50" w:line="252" w:lineRule="auto"/>
            </w:pPr>
            <w:r>
              <w:rPr>
                <w:rFonts w:ascii="Calibri" w:hAnsi="Calibri"/>
                <w:color w:val="1E293B"/>
                <w:sz w:val="17"/>
              </w:rPr>
              <w:t>~0.7 GB</w:t>
            </w:r>
          </w:p>
        </w:tc>
        <w:tc>
          <w:tcPr>
            <w:tcW w:type="dxa" w:w="1872"/>
            <w:shd w:fill="F8FAFC"/>
          </w:tcPr>
          <w:p>
            <w:pPr>
              <w:spacing w:before="50" w:after="50" w:line="252" w:lineRule="auto"/>
            </w:pPr>
            <w:r>
              <w:rPr>
                <w:rFonts w:ascii="Calibri" w:hAnsi="Calibri"/>
                <w:color w:val="1E293B"/>
                <w:sz w:val="17"/>
              </w:rPr>
              <w:t>~2.4 GB</w:t>
            </w:r>
          </w:p>
        </w:tc>
      </w:tr>
      <w:tr>
        <w:tc>
          <w:tcPr>
            <w:tcW w:type="dxa" w:w="1872"/>
            <w:shd w:fill="FFFFFF"/>
          </w:tcPr>
          <w:p>
            <w:pPr>
              <w:spacing w:before="50" w:after="50" w:line="252" w:lineRule="auto"/>
            </w:pPr>
            <w:r>
              <w:rPr>
                <w:rFonts w:ascii="Calibri" w:hAnsi="Calibri"/>
                <w:b/>
                <w:color w:val="1E293B"/>
                <w:sz w:val="17"/>
              </w:rPr>
              <w:t>Edge Feasibility (RPi 4/5)</w:t>
            </w:r>
          </w:p>
        </w:tc>
        <w:tc>
          <w:tcPr>
            <w:tcW w:type="dxa" w:w="1872"/>
            <w:shd w:fill="FFFFFF"/>
          </w:tcPr>
          <w:p>
            <w:pPr>
              <w:spacing w:before="50" w:after="50" w:line="252" w:lineRule="auto"/>
            </w:pPr>
            <w:r>
              <w:rPr>
                <w:rFonts w:ascii="Calibri" w:hAnsi="Calibri"/>
                <w:color w:val="1E293B"/>
                <w:sz w:val="17"/>
              </w:rPr>
              <w:t>Excellent (Real-Time)</w:t>
            </w:r>
          </w:p>
        </w:tc>
        <w:tc>
          <w:tcPr>
            <w:tcW w:type="dxa" w:w="1872"/>
            <w:shd w:fill="FFFFFF"/>
          </w:tcPr>
          <w:p>
            <w:pPr>
              <w:spacing w:before="50" w:after="50" w:line="252" w:lineRule="auto"/>
            </w:pPr>
            <w:r>
              <w:rPr>
                <w:rFonts w:ascii="Calibri" w:hAnsi="Calibri"/>
                <w:color w:val="1E293B"/>
                <w:sz w:val="17"/>
              </w:rPr>
              <w:t>Very Good (Real-Time)</w:t>
            </w:r>
          </w:p>
        </w:tc>
        <w:tc>
          <w:tcPr>
            <w:tcW w:type="dxa" w:w="1872"/>
            <w:shd w:fill="FFFFFF"/>
          </w:tcPr>
          <w:p>
            <w:pPr>
              <w:spacing w:before="50" w:after="50" w:line="252" w:lineRule="auto"/>
            </w:pPr>
            <w:r>
              <w:rPr>
                <w:rFonts w:ascii="Calibri" w:hAnsi="Calibri"/>
                <w:color w:val="1E293B"/>
                <w:sz w:val="17"/>
              </w:rPr>
              <w:t>Very Good (Real-Time)</w:t>
            </w:r>
          </w:p>
        </w:tc>
        <w:tc>
          <w:tcPr>
            <w:tcW w:type="dxa" w:w="1872"/>
            <w:shd w:fill="FFFFFF"/>
          </w:tcPr>
          <w:p>
            <w:pPr>
              <w:spacing w:before="50" w:after="50" w:line="252" w:lineRule="auto"/>
            </w:pPr>
            <w:r>
              <w:rPr>
                <w:rFonts w:ascii="Calibri" w:hAnsi="Calibri"/>
                <w:color w:val="1E293B"/>
                <w:sz w:val="17"/>
              </w:rPr>
              <w:t>Unfeasible (&lt; 1 FPS)</w:t>
            </w:r>
          </w:p>
        </w:tc>
      </w:tr>
    </w:tbl>
    <w:p>
      <w:pPr>
        <w:spacing w:after="20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after="0" w:line="276" w:lineRule="auto"/>
            </w:pPr>
            <w:r>
              <w:rPr>
                <w:rFonts w:ascii="Arial" w:hAnsi="Arial"/>
                <w:b/>
                <w:color w:val="0D9488"/>
                <w:sz w:val="20"/>
              </w:rPr>
              <w:t xml:space="preserve">[EMPIRICAL CONCLUSION] </w:t>
            </w:r>
            <w:r>
              <w:rPr>
                <w:rFonts w:ascii="Calibri" w:hAnsi="Calibri"/>
                <w:color w:val="1E293B"/>
                <w:sz w:val="21"/>
              </w:rPr>
              <w:t>At the identical 5-epoch baseline, YOLOv8n outperformed YOLOv5n across every single parameter: Precision (+4.20%), Recall (+2.67%), mAP@0.50 (+2.59%), and mAP@0.50:0.95 (+2.89%). When extended to 50 epochs, YOLOv8n converged to 71.98% Precision, 62.65% Recall, and 65.09% mAP@0.50, demonstrating state-of-the-art capability for real-time robotic sorting.</w:t>
            </w:r>
          </w:p>
        </w:tc>
      </w:tr>
    </w:tbl>
    <w:p>
      <w:pPr>
        <w:spacing w:after="120"/>
      </w:pPr>
    </w:p>
    <w:p>
      <w:pPr>
        <w:keepNext/>
        <w:spacing w:before="360" w:after="120"/>
      </w:pPr>
      <w:r>
        <w:rPr>
          <w:rFonts w:ascii="Arial" w:hAnsi="Arial"/>
          <w:b/>
          <w:color w:val="1A365D"/>
          <w:sz w:val="30"/>
        </w:rPr>
        <w:t>4. Training Curves, Loss Evolution &amp; Error Analysis</w:t>
      </w:r>
    </w:p>
    <w:p>
      <w:pPr>
        <w:spacing w:after="100" w:line="276" w:lineRule="auto"/>
      </w:pPr>
      <w:r>
        <w:rPr>
          <w:rFonts w:ascii="Calibri" w:hAnsi="Calibri"/>
          <w:color w:val="1E293B"/>
          <w:sz w:val="22"/>
        </w:rPr>
        <w:t>To validate learning dynamics, convergence stability, and error distribution, empirical artifacts recorded during model training were extracted and analyzed.</w:t>
      </w:r>
    </w:p>
    <w:p>
      <w:pPr>
        <w:keepNext/>
        <w:spacing w:before="240" w:after="80"/>
      </w:pPr>
      <w:r>
        <w:rPr>
          <w:rFonts w:ascii="Arial" w:hAnsi="Arial"/>
          <w:b/>
          <w:color w:val="0D9488"/>
          <w:sz w:val="25"/>
        </w:rPr>
        <w:t>4.1 YOLOv8 (50 Epochs) Training Metrics &amp; Convergence</w:t>
      </w:r>
    </w:p>
    <w:p>
      <w:pPr>
        <w:spacing w:after="100" w:line="276" w:lineRule="auto"/>
      </w:pPr>
      <w:r>
        <w:rPr>
          <w:rFonts w:ascii="Calibri" w:hAnsi="Calibri"/>
          <w:color w:val="1E293B"/>
          <w:sz w:val="22"/>
        </w:rPr>
        <w:t>The complete multi-loss and metric progression across 50 epochs illustrates consistent convergence without evidence of catastrophic overfitting:</w:t>
      </w:r>
    </w:p>
    <w:p>
      <w:pPr>
        <w:spacing w:after="100" w:line="276" w:lineRule="auto"/>
      </w:pPr>
      <w:r>
        <w:rPr>
          <w:rFonts w:ascii="Calibri" w:hAnsi="Calibri"/>
          <w:color w:val="1E293B"/>
          <w:sz w:val="22"/>
        </w:rPr>
        <w:t>• Train Box Loss declined from 1.026 to 0.622, while Val Box Loss stabilized at 0.748.</w:t>
        <w:br/>
        <w:t>• Train Cls Loss declined from 3.444 down to 0.504, confirming sharp class discriminability across 77 categories.</w:t>
        <w:br/>
        <w:t>• mAP@0.50 scaled from 23.07% in epoch 1 to a peak of 65.09% in epoch 49.</w:t>
        <w:br/>
        <w:t>• mAP@0.50:0.95 rose from 15.14% to 50.88%, demonstrating high localization fidelity under strict IoU thresholds.</w:t>
      </w:r>
    </w:p>
    <w:p>
      <w:pPr>
        <w:spacing w:before="16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669280" cy="2834640"/>
                    </a:xfrm>
                    <a:prstGeom prst="rect"/>
                  </pic:spPr>
                </pic:pic>
              </a:graphicData>
            </a:graphic>
          </wp:inline>
        </w:drawing>
      </w:r>
    </w:p>
    <w:p>
      <w:pPr>
        <w:spacing w:after="160"/>
        <w:jc w:val="center"/>
      </w:pPr>
      <w:r>
        <w:rPr>
          <w:rFonts w:ascii="Calibri" w:hAnsi="Calibri"/>
          <w:i/>
          <w:color w:val="64748B"/>
          <w:sz w:val="19"/>
        </w:rPr>
        <w:t>Figure: YOLOv8n (50 Epochs) Metric Trajectories: Box Loss, Cls Loss, DFL Loss, Precision, Recall, and mAP</w:t>
      </w:r>
    </w:p>
    <w:p>
      <w:pPr>
        <w:keepNext/>
        <w:spacing w:before="240" w:after="80"/>
      </w:pPr>
      <w:r>
        <w:rPr>
          <w:rFonts w:ascii="Arial" w:hAnsi="Arial"/>
          <w:b/>
          <w:color w:val="0D9488"/>
          <w:sz w:val="25"/>
        </w:rPr>
        <w:t>4.2 Precision-Recall (P-R) Curve Analysis</w:t>
      </w:r>
    </w:p>
    <w:p>
      <w:pPr>
        <w:spacing w:after="100" w:line="276" w:lineRule="auto"/>
      </w:pPr>
      <w:r>
        <w:rPr>
          <w:rFonts w:ascii="Calibri" w:hAnsi="Calibri"/>
          <w:color w:val="1E293B"/>
          <w:sz w:val="22"/>
        </w:rPr>
        <w:t>The Precision-Recall curve captures the trade-off across all operating confidence levels for all 77 e-waste categories:</w:t>
      </w:r>
    </w:p>
    <w:p>
      <w:pPr>
        <w:spacing w:after="100" w:line="276" w:lineRule="auto"/>
      </w:pPr>
      <w:r>
        <w:rPr>
          <w:rFonts w:ascii="Calibri" w:hAnsi="Calibri"/>
          <w:color w:val="1E293B"/>
          <w:sz w:val="22"/>
        </w:rPr>
        <w:t>• The model maintains high precision (&gt; 85%) at lower recall thresholds, demonstrating that when detections are triggered with confidence &gt; 0.60, false positives are virtually non-existent.</w:t>
        <w:br/>
        <w:t>• The overall Area Under Curve (AUC) for all classes combined reaches an mAP@0.50 of 0.651.</w:t>
      </w:r>
    </w:p>
    <w:p>
      <w:pPr>
        <w:spacing w:before="160" w:after="4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BoxPR_curve.png"/>
                    <pic:cNvPicPr/>
                  </pic:nvPicPr>
                  <pic:blipFill>
                    <a:blip r:embed="rId10"/>
                    <a:stretch>
                      <a:fillRect/>
                    </a:stretch>
                  </pic:blipFill>
                  <pic:spPr>
                    <a:xfrm>
                      <a:off x="0" y="0"/>
                      <a:ext cx="5303520" cy="3535680"/>
                    </a:xfrm>
                    <a:prstGeom prst="rect"/>
                  </pic:spPr>
                </pic:pic>
              </a:graphicData>
            </a:graphic>
          </wp:inline>
        </w:drawing>
      </w:r>
    </w:p>
    <w:p>
      <w:pPr>
        <w:spacing w:after="160"/>
        <w:jc w:val="center"/>
      </w:pPr>
      <w:r>
        <w:rPr>
          <w:rFonts w:ascii="Calibri" w:hAnsi="Calibri"/>
          <w:i/>
          <w:color w:val="64748B"/>
          <w:sz w:val="19"/>
        </w:rPr>
        <w:t>Figure: YOLOv8n Box Precision-Recall (PR) Curve for 77 E-Waste Classes (mAP@0.50 = 0.651)</w:t>
      </w:r>
    </w:p>
    <w:p>
      <w:pPr>
        <w:keepNext/>
        <w:spacing w:before="240" w:after="80"/>
      </w:pPr>
      <w:r>
        <w:rPr>
          <w:rFonts w:ascii="Arial" w:hAnsi="Arial"/>
          <w:b/>
          <w:color w:val="0D9488"/>
          <w:sz w:val="25"/>
        </w:rPr>
        <w:t>4.3 F1-Score vs. Confidence Threshold Optimization</w:t>
      </w:r>
    </w:p>
    <w:p>
      <w:pPr>
        <w:spacing w:after="100" w:line="276" w:lineRule="auto"/>
      </w:pPr>
      <w:r>
        <w:rPr>
          <w:rFonts w:ascii="Calibri" w:hAnsi="Calibri"/>
          <w:color w:val="1E293B"/>
          <w:sz w:val="22"/>
        </w:rPr>
        <w:t>The F1-confidence curve identifies the optimal operating threshold for live deployment:</w:t>
      </w:r>
    </w:p>
    <w:p>
      <w:pPr>
        <w:spacing w:after="100" w:line="276" w:lineRule="auto"/>
      </w:pPr>
      <w:r>
        <w:rPr>
          <w:rFonts w:ascii="Calibri" w:hAnsi="Calibri"/>
          <w:color w:val="1E293B"/>
          <w:sz w:val="22"/>
        </w:rPr>
        <w:t>• The maximum aggregate F1-score across all 77 classes peaks at 0.67 at an operational confidence threshold of 0.443.</w:t>
        <w:br/>
        <w:t>• Operational Guideline: Setting conf = 0.45 in production maximizes balanced detection performance, while setting conf = 0.25 prioritizes high recall for hazardous materials.</w:t>
      </w:r>
    </w:p>
    <w:p>
      <w:pPr>
        <w:spacing w:before="160" w:after="4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BoxF1_curve.png"/>
                    <pic:cNvPicPr/>
                  </pic:nvPicPr>
                  <pic:blipFill>
                    <a:blip r:embed="rId11"/>
                    <a:stretch>
                      <a:fillRect/>
                    </a:stretch>
                  </pic:blipFill>
                  <pic:spPr>
                    <a:xfrm>
                      <a:off x="0" y="0"/>
                      <a:ext cx="5303520" cy="3535680"/>
                    </a:xfrm>
                    <a:prstGeom prst="rect"/>
                  </pic:spPr>
                </pic:pic>
              </a:graphicData>
            </a:graphic>
          </wp:inline>
        </w:drawing>
      </w:r>
    </w:p>
    <w:p>
      <w:pPr>
        <w:spacing w:after="160"/>
        <w:jc w:val="center"/>
      </w:pPr>
      <w:r>
        <w:rPr>
          <w:rFonts w:ascii="Calibri" w:hAnsi="Calibri"/>
          <w:i/>
          <w:color w:val="64748B"/>
          <w:sz w:val="19"/>
        </w:rPr>
        <w:t>Figure: YOLOv8n Box F1-Score vs. Confidence Curve across 77 E-Waste Classes (Peak F1 = 0.67 at Conf = 0.443)</w:t>
      </w:r>
    </w:p>
    <w:p>
      <w:pPr>
        <w:keepNext/>
        <w:spacing w:before="240" w:after="80"/>
      </w:pPr>
      <w:r>
        <w:rPr>
          <w:rFonts w:ascii="Arial" w:hAnsi="Arial"/>
          <w:b/>
          <w:color w:val="0D9488"/>
          <w:sz w:val="25"/>
        </w:rPr>
        <w:t>4.4 Confusion Matrix &amp; Inter-Class Error Breakdown</w:t>
      </w:r>
    </w:p>
    <w:p>
      <w:pPr>
        <w:spacing w:after="100" w:line="276" w:lineRule="auto"/>
      </w:pPr>
      <w:r>
        <w:rPr>
          <w:rFonts w:ascii="Calibri" w:hAnsi="Calibri"/>
          <w:color w:val="1E293B"/>
          <w:sz w:val="22"/>
        </w:rPr>
        <w:t>The normalized confusion matrix provides critical insights into failure modes and inter-class confusion:</w:t>
      </w:r>
    </w:p>
    <w:p>
      <w:pPr>
        <w:spacing w:after="100" w:line="276" w:lineRule="auto"/>
      </w:pPr>
      <w:r>
        <w:rPr>
          <w:rFonts w:ascii="Calibri" w:hAnsi="Calibri"/>
          <w:color w:val="1E293B"/>
          <w:sz w:val="22"/>
        </w:rPr>
        <w:t>• Strong diagonal concentration demonstrates high classification accuracy on visually distinct items such as Keyboards, Monitors, Printers, and Photovoltaic Panels (&gt; 85% correct).</w:t>
        <w:br/>
        <w:t>• Background False Positives: Minimal clutter misclassifications, proving effective background rejection.</w:t>
        <w:br/>
        <w:t>• Inter-Class Confusion: Minor misclassifications occur between visually similar categories, notably: (1) HDD vs SSD (both rectangular metal drive enclosures), (2) Flat-Panel-Monitor vs Flat-Panel-TV (identical external casing), and (3) Straight-Tube Fluorescent Lamp vs Neon Sign.</w:t>
      </w:r>
    </w:p>
    <w:p>
      <w:pPr>
        <w:spacing w:before="160" w:after="4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confusion_matrix_normalized.png"/>
                    <pic:cNvPicPr/>
                  </pic:nvPicPr>
                  <pic:blipFill>
                    <a:blip r:embed="rId12"/>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64748B"/>
          <w:sz w:val="19"/>
        </w:rPr>
        <w:t>Figure: YOLOv8n Normalized Confusion Matrix across 77 E-Waste Classes</w:t>
      </w:r>
    </w:p>
    <w:p>
      <w:pPr>
        <w:keepNext/>
        <w:spacing w:before="240" w:after="80"/>
      </w:pPr>
      <w:r>
        <w:rPr>
          <w:rFonts w:ascii="Arial" w:hAnsi="Arial"/>
          <w:b/>
          <w:color w:val="0D9488"/>
          <w:sz w:val="25"/>
        </w:rPr>
        <w:t>4.5 YOLOv5 Baseline &amp; Faster R-CNN Loss Progression</w:t>
      </w:r>
    </w:p>
    <w:p>
      <w:pPr>
        <w:spacing w:after="100" w:line="276" w:lineRule="auto"/>
      </w:pPr>
      <w:r>
        <w:rPr>
          <w:rFonts w:ascii="Calibri" w:hAnsi="Calibri"/>
          <w:color w:val="1E293B"/>
          <w:sz w:val="22"/>
        </w:rPr>
        <w:t>Comparison of learning curves between the anchor-based YOLOv5 baseline and the two-stage Faster R-CNN benchmark:</w:t>
      </w:r>
    </w:p>
    <w:p>
      <w:pPr>
        <w:spacing w:before="160" w:after="4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64748B"/>
          <w:sz w:val="19"/>
        </w:rPr>
        <w:t>Figure: YOLOv5n (5 Epochs) Training Metrics &amp; Convergence Progress</w:t>
      </w:r>
    </w:p>
    <w:p>
      <w:pPr>
        <w:spacing w:before="160" w:after="4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loss_history.png"/>
                    <pic:cNvPicPr/>
                  </pic:nvPicPr>
                  <pic:blipFill>
                    <a:blip r:embed="rId14"/>
                    <a:stretch>
                      <a:fillRect/>
                    </a:stretch>
                  </pic:blipFill>
                  <pic:spPr>
                    <a:xfrm>
                      <a:off x="0" y="0"/>
                      <a:ext cx="5303520" cy="3182112"/>
                    </a:xfrm>
                    <a:prstGeom prst="rect"/>
                  </pic:spPr>
                </pic:pic>
              </a:graphicData>
            </a:graphic>
          </wp:inline>
        </w:drawing>
      </w:r>
    </w:p>
    <w:p>
      <w:pPr>
        <w:spacing w:after="160"/>
        <w:jc w:val="center"/>
      </w:pPr>
      <w:r>
        <w:rPr>
          <w:rFonts w:ascii="Calibri" w:hAnsi="Calibri"/>
          <w:i/>
          <w:color w:val="64748B"/>
          <w:sz w:val="19"/>
        </w:rPr>
        <w:t>Figure: Faster R-CNN (ResNet-50-FPN) Multi-Task Loss Progression: Classifier, Box Reg, Objectness, and RPN Box Reg</w:t>
      </w:r>
    </w:p>
    <w:p>
      <w:pPr>
        <w:keepNext/>
        <w:spacing w:before="240" w:after="80"/>
      </w:pPr>
      <w:r>
        <w:rPr>
          <w:rFonts w:ascii="Arial" w:hAnsi="Arial"/>
          <w:b/>
          <w:color w:val="0D9488"/>
          <w:sz w:val="25"/>
        </w:rPr>
        <w:t>4.6 Qualitative Detection Samples</w:t>
      </w:r>
    </w:p>
    <w:p>
      <w:pPr>
        <w:spacing w:after="100" w:line="276" w:lineRule="auto"/>
      </w:pPr>
      <w:r>
        <w:rPr>
          <w:rFonts w:ascii="Calibri" w:hAnsi="Calibri"/>
          <w:color w:val="1E293B"/>
          <w:sz w:val="22"/>
        </w:rPr>
        <w:t>Validation batch predictions demonstrate model localization robustness on multi-object scenes with overlapping components, cables, and circuit boards:</w:t>
      </w:r>
    </w:p>
    <w:p>
      <w:pPr>
        <w:spacing w:before="160" w:after="40"/>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val_batch0_pred.jpg"/>
                    <pic:cNvPicPr/>
                  </pic:nvPicPr>
                  <pic:blipFill>
                    <a:blip r:embed="rId15"/>
                    <a:stretch>
                      <a:fillRect/>
                    </a:stretch>
                  </pic:blipFill>
                  <pic:spPr>
                    <a:xfrm>
                      <a:off x="0" y="0"/>
                      <a:ext cx="5486400" cy="5486400"/>
                    </a:xfrm>
                    <a:prstGeom prst="rect"/>
                  </pic:spPr>
                </pic:pic>
              </a:graphicData>
            </a:graphic>
          </wp:inline>
        </w:drawing>
      </w:r>
    </w:p>
    <w:p>
      <w:pPr>
        <w:spacing w:after="160"/>
        <w:jc w:val="center"/>
      </w:pPr>
      <w:r>
        <w:rPr>
          <w:rFonts w:ascii="Calibri" w:hAnsi="Calibri"/>
          <w:i/>
          <w:color w:val="64748B"/>
          <w:sz w:val="19"/>
        </w:rPr>
        <w:t>Figure: Qualitative Validation Predictions on Test E-Waste Images (YOLOv8n)</w:t>
      </w:r>
    </w:p>
    <w:p>
      <w:pPr>
        <w:keepNext/>
        <w:spacing w:before="360" w:after="120"/>
      </w:pPr>
      <w:r>
        <w:rPr>
          <w:rFonts w:ascii="Arial" w:hAnsi="Arial"/>
          <w:b/>
          <w:color w:val="1A365D"/>
          <w:sz w:val="30"/>
        </w:rPr>
        <w:t>5. Architectural Comparison &amp; Ablation Analysis</w:t>
      </w:r>
    </w:p>
    <w:p>
      <w:pPr>
        <w:keepNext/>
        <w:spacing w:before="240" w:after="80"/>
      </w:pPr>
      <w:r>
        <w:rPr>
          <w:rFonts w:ascii="Arial" w:hAnsi="Arial"/>
          <w:b/>
          <w:color w:val="0D9488"/>
          <w:sz w:val="25"/>
        </w:rPr>
        <w:t>5.1 Anchor-Based (YOLOv5) vs. Anchor-Free (YOLOv8) Paradigm</w:t>
      </w:r>
    </w:p>
    <w:p>
      <w:pPr>
        <w:spacing w:after="100" w:line="276" w:lineRule="auto"/>
      </w:pPr>
      <w:r>
        <w:rPr>
          <w:rFonts w:ascii="Calibri" w:hAnsi="Calibri"/>
          <w:color w:val="1E293B"/>
          <w:sz w:val="22"/>
        </w:rPr>
        <w:t>1. Anchor Box Limitations in E-Waste: YOLOv5 relies on 9 k-means clustered anchor boxes (3 per detection scale). In e-waste sorting, objects span wildly atypical aspect ratios (e.g. flexible tangled wires with ratio 1:15 vs square microchips with ratio 1:1). Predefined anchor shapes struggle to overlap tightly without extensive manual hyperparameter tuning.</w:t>
        <w:br/>
        <w:t>2. Anchor-Free Superiority in YOLOv8: By directly predicting the bounding box center and distances to the 4 edges, YOLOv8 naturally adapts to any arbitrary aspect ratio, eliminating anchor mismatch errors.</w:t>
        <w:br/>
        <w:t>3. C2f vs C3 Feature Backbones: YOLOv8's C2f module incorporates split-and-merge gradient paths from all bottleneck sub-layers, allowing low-level textural features (essential for detecting small printed circuit board solder joints and chip pins) to propagate unattenuated.</w:t>
      </w:r>
    </w:p>
    <w:p>
      <w:pPr>
        <w:keepNext/>
        <w:spacing w:before="240" w:after="80"/>
      </w:pPr>
      <w:r>
        <w:rPr>
          <w:rFonts w:ascii="Arial" w:hAnsi="Arial"/>
          <w:b/>
          <w:color w:val="0D9488"/>
          <w:sz w:val="25"/>
        </w:rPr>
        <w:t>5.2 Single-Stage (YOLO) vs. Two-Stage (Faster R-CNN) Paradigm</w:t>
      </w:r>
    </w:p>
    <w:p>
      <w:pPr>
        <w:spacing w:after="100" w:line="276" w:lineRule="auto"/>
      </w:pPr>
      <w:r>
        <w:rPr>
          <w:rFonts w:ascii="Calibri" w:hAnsi="Calibri"/>
          <w:color w:val="1E293B"/>
          <w:sz w:val="22"/>
        </w:rPr>
        <w:t>1. Localization in Cluttered Heaps: In dense piles where 10+ devices are heaped together, single-stage grid cells can experience spatial anchor collision. Faster R-CNN's Region Proposal Network (RPN) generates thousands of candidate regions, followed by RoIAlign feature extraction that preserves continuous spatial coordinates without quantization rounding.</w:t>
        <w:br/>
        <w:t>2. The Computational Cost: Faster R-CNN's two-stage architecture requires ~134 GFLOPs and 41.5M parameters (333 MB weights), resulting in 85–115 ms latency per frame (~9–11 FPS). Conversely, YOLOv8n operates at 12–16 ms (~65+ FPS) with a 6.5 MB footprint—a 50x storage saving and a 6x speed advantage.</w:t>
      </w:r>
    </w:p>
    <w:p>
      <w:pPr>
        <w:keepNext/>
        <w:spacing w:before="360" w:after="120"/>
      </w:pPr>
      <w:r>
        <w:rPr>
          <w:rFonts w:ascii="Arial" w:hAnsi="Arial"/>
          <w:b/>
          <w:color w:val="1A365D"/>
          <w:sz w:val="30"/>
        </w:rPr>
        <w:t>6. Industrial Deployment Strategy &amp; Recommendation Matrix</w:t>
      </w:r>
    </w:p>
    <w:p>
      <w:pPr>
        <w:spacing w:after="100" w:line="276" w:lineRule="auto"/>
      </w:pPr>
      <w:r>
        <w:rPr>
          <w:rFonts w:ascii="Calibri" w:hAnsi="Calibri"/>
          <w:color w:val="1E293B"/>
          <w:sz w:val="22"/>
        </w:rPr>
        <w:t>Based on the comprehensive benchmark across all evaluation parameters, the recommended deployment architecture for real-world electronic waste recovery is structured into three tiers:</w:t>
      </w:r>
    </w:p>
    <w:tbl>
      <w:tblPr>
        <w:tblW w:type="auto" w:w="0"/>
        <w:jc w:val="center"/>
        <w:tblLook w:firstColumn="1" w:firstRow="1" w:lastColumn="0" w:lastRow="0" w:noHBand="0" w:noVBand="1" w:val="04A0"/>
      </w:tblPr>
      <w:tblGrid>
        <w:gridCol w:w="2340"/>
        <w:gridCol w:w="2340"/>
        <w:gridCol w:w="2340"/>
        <w:gridCol w:w="2340"/>
      </w:tblGrid>
      <w:tr>
        <w:tc>
          <w:tcPr>
            <w:tcW w:type="dxa" w:w="2340"/>
            <w:shd w:fill="0D9488"/>
          </w:tcPr>
          <w:p>
            <w:pPr>
              <w:spacing w:before="80" w:after="80"/>
            </w:pPr>
            <w:r>
              <w:rPr>
                <w:rFonts w:ascii="Arial" w:hAnsi="Arial"/>
                <w:b/>
                <w:color w:val="FFFFFF"/>
                <w:sz w:val="19"/>
              </w:rPr>
              <w:t>Deployment Scenario</w:t>
            </w:r>
          </w:p>
        </w:tc>
        <w:tc>
          <w:tcPr>
            <w:tcW w:type="dxa" w:w="2340"/>
            <w:shd w:fill="0D9488"/>
          </w:tcPr>
          <w:p>
            <w:pPr>
              <w:spacing w:before="80" w:after="80"/>
            </w:pPr>
            <w:r>
              <w:rPr>
                <w:rFonts w:ascii="Arial" w:hAnsi="Arial"/>
                <w:b/>
                <w:color w:val="FFFFFF"/>
                <w:sz w:val="19"/>
              </w:rPr>
              <w:t>Target Hardware</w:t>
            </w:r>
          </w:p>
        </w:tc>
        <w:tc>
          <w:tcPr>
            <w:tcW w:type="dxa" w:w="2340"/>
            <w:shd w:fill="0D9488"/>
          </w:tcPr>
          <w:p>
            <w:pPr>
              <w:spacing w:before="80" w:after="80"/>
            </w:pPr>
            <w:r>
              <w:rPr>
                <w:rFonts w:ascii="Arial" w:hAnsi="Arial"/>
                <w:b/>
                <w:color w:val="FFFFFF"/>
                <w:sz w:val="19"/>
              </w:rPr>
              <w:t>Recommended Model</w:t>
            </w:r>
          </w:p>
        </w:tc>
        <w:tc>
          <w:tcPr>
            <w:tcW w:type="dxa" w:w="2340"/>
            <w:shd w:fill="0D9488"/>
          </w:tcPr>
          <w:p>
            <w:pPr>
              <w:spacing w:before="80" w:after="80"/>
            </w:pPr>
            <w:r>
              <w:rPr>
                <w:rFonts w:ascii="Arial" w:hAnsi="Arial"/>
                <w:b/>
                <w:color w:val="FFFFFF"/>
                <w:sz w:val="19"/>
              </w:rPr>
              <w:t>Operational Justification</w:t>
            </w:r>
          </w:p>
        </w:tc>
      </w:tr>
      <w:tr>
        <w:tc>
          <w:tcPr>
            <w:tcW w:type="dxa" w:w="2340"/>
            <w:shd w:fill="FFFFFF"/>
          </w:tcPr>
          <w:p>
            <w:pPr>
              <w:spacing w:before="60" w:after="60" w:line="252" w:lineRule="auto"/>
            </w:pPr>
            <w:r>
              <w:rPr>
                <w:rFonts w:ascii="Calibri" w:hAnsi="Calibri"/>
                <w:b/>
                <w:color w:val="1E293B"/>
                <w:sz w:val="18"/>
              </w:rPr>
              <w:t>Interactive Web App &amp; Live Webcam Stream</w:t>
            </w:r>
          </w:p>
        </w:tc>
        <w:tc>
          <w:tcPr>
            <w:tcW w:type="dxa" w:w="2340"/>
            <w:shd w:fill="FFFFFF"/>
          </w:tcPr>
          <w:p>
            <w:pPr>
              <w:spacing w:before="60" w:after="60" w:line="252" w:lineRule="auto"/>
            </w:pPr>
            <w:r>
              <w:rPr>
                <w:rFonts w:ascii="Calibri" w:hAnsi="Calibri"/>
                <w:color w:val="1E293B"/>
                <w:sz w:val="18"/>
              </w:rPr>
              <w:t>Local Laptop / Web Server (RTX 4050 / CPU)</w:t>
            </w:r>
          </w:p>
        </w:tc>
        <w:tc>
          <w:tcPr>
            <w:tcW w:type="dxa" w:w="2340"/>
            <w:shd w:fill="FFFFFF"/>
          </w:tcPr>
          <w:p>
            <w:pPr>
              <w:spacing w:before="60" w:after="60" w:line="252" w:lineRule="auto"/>
            </w:pPr>
            <w:r>
              <w:rPr>
                <w:rFonts w:ascii="Calibri" w:hAnsi="Calibri"/>
                <w:b/>
                <w:color w:val="1E293B"/>
                <w:sz w:val="18"/>
              </w:rPr>
              <w:t>YOLOv8n (50 Epochs)</w:t>
            </w:r>
          </w:p>
        </w:tc>
        <w:tc>
          <w:tcPr>
            <w:tcW w:type="dxa" w:w="2340"/>
            <w:shd w:fill="FFFFFF"/>
          </w:tcPr>
          <w:p>
            <w:pPr>
              <w:spacing w:before="60" w:after="60" w:line="252" w:lineRule="auto"/>
            </w:pPr>
            <w:r>
              <w:rPr>
                <w:rFonts w:ascii="Calibri" w:hAnsi="Calibri"/>
                <w:color w:val="1E293B"/>
                <w:sz w:val="18"/>
              </w:rPr>
              <w:t>Optimal 65+ FPS real-time fluidity with high 65.1% mAP@50 and 72.0% Precision. Active in web_app.py and streamlit_app.py.</w:t>
            </w:r>
          </w:p>
        </w:tc>
      </w:tr>
      <w:tr>
        <w:tc>
          <w:tcPr>
            <w:tcW w:type="dxa" w:w="2340"/>
            <w:shd w:fill="F8FAFC"/>
          </w:tcPr>
          <w:p>
            <w:pPr>
              <w:spacing w:before="60" w:after="60" w:line="252" w:lineRule="auto"/>
            </w:pPr>
            <w:r>
              <w:rPr>
                <w:rFonts w:ascii="Calibri" w:hAnsi="Calibri"/>
                <w:b/>
                <w:color w:val="1E293B"/>
                <w:sz w:val="18"/>
              </w:rPr>
              <w:t>Edge Embedded Sorting / Conveyor Microcontroller</w:t>
            </w:r>
          </w:p>
        </w:tc>
        <w:tc>
          <w:tcPr>
            <w:tcW w:type="dxa" w:w="2340"/>
            <w:shd w:fill="F8FAFC"/>
          </w:tcPr>
          <w:p>
            <w:pPr>
              <w:spacing w:before="60" w:after="60" w:line="252" w:lineRule="auto"/>
            </w:pPr>
            <w:r>
              <w:rPr>
                <w:rFonts w:ascii="Calibri" w:hAnsi="Calibri"/>
                <w:color w:val="1E293B"/>
                <w:sz w:val="18"/>
              </w:rPr>
              <w:t>Raspberry Pi 4/5, Jetson Orin Nano, Mobile Phone</w:t>
            </w:r>
          </w:p>
        </w:tc>
        <w:tc>
          <w:tcPr>
            <w:tcW w:type="dxa" w:w="2340"/>
            <w:shd w:fill="F8FAFC"/>
          </w:tcPr>
          <w:p>
            <w:pPr>
              <w:spacing w:before="60" w:after="60" w:line="252" w:lineRule="auto"/>
            </w:pPr>
            <w:r>
              <w:rPr>
                <w:rFonts w:ascii="Calibri" w:hAnsi="Calibri"/>
                <w:b/>
                <w:color w:val="1E293B"/>
                <w:sz w:val="18"/>
              </w:rPr>
              <w:t>YOLOv5n / YOLOv8n (FP16/INT8)</w:t>
            </w:r>
          </w:p>
        </w:tc>
        <w:tc>
          <w:tcPr>
            <w:tcW w:type="dxa" w:w="2340"/>
            <w:shd w:fill="F8FAFC"/>
          </w:tcPr>
          <w:p>
            <w:pPr>
              <w:spacing w:before="60" w:after="60" w:line="252" w:lineRule="auto"/>
            </w:pPr>
            <w:r>
              <w:rPr>
                <w:rFonts w:ascii="Calibri" w:hAnsi="Calibri"/>
                <w:color w:val="1E293B"/>
                <w:sz w:val="18"/>
              </w:rPr>
              <w:t>Ultra-compact 5.3–6.5 MB model weight footprint, minimal 1.8 GB RAM usage, preventing thermal throttling on passive cooling.</w:t>
            </w:r>
          </w:p>
        </w:tc>
      </w:tr>
      <w:tr>
        <w:tc>
          <w:tcPr>
            <w:tcW w:type="dxa" w:w="2340"/>
            <w:shd w:fill="FFFFFF"/>
          </w:tcPr>
          <w:p>
            <w:pPr>
              <w:spacing w:before="60" w:after="60" w:line="252" w:lineRule="auto"/>
            </w:pPr>
            <w:r>
              <w:rPr>
                <w:rFonts w:ascii="Calibri" w:hAnsi="Calibri"/>
                <w:b/>
                <w:color w:val="1E293B"/>
                <w:sz w:val="18"/>
              </w:rPr>
              <w:t>Forensic Facility Audit &amp; Hazardous Compliance</w:t>
            </w:r>
          </w:p>
        </w:tc>
        <w:tc>
          <w:tcPr>
            <w:tcW w:type="dxa" w:w="2340"/>
            <w:shd w:fill="FFFFFF"/>
          </w:tcPr>
          <w:p>
            <w:pPr>
              <w:spacing w:before="60" w:after="60" w:line="252" w:lineRule="auto"/>
            </w:pPr>
            <w:r>
              <w:rPr>
                <w:rFonts w:ascii="Calibri" w:hAnsi="Calibri"/>
                <w:color w:val="1E293B"/>
                <w:sz w:val="18"/>
              </w:rPr>
              <w:t>Industrial Server / Cloud High-VRAM GPU</w:t>
            </w:r>
          </w:p>
        </w:tc>
        <w:tc>
          <w:tcPr>
            <w:tcW w:type="dxa" w:w="2340"/>
            <w:shd w:fill="FFFFFF"/>
          </w:tcPr>
          <w:p>
            <w:pPr>
              <w:spacing w:before="60" w:after="60" w:line="252" w:lineRule="auto"/>
            </w:pPr>
            <w:r>
              <w:rPr>
                <w:rFonts w:ascii="Calibri" w:hAnsi="Calibri"/>
                <w:b/>
                <w:color w:val="1E293B"/>
                <w:sz w:val="18"/>
              </w:rPr>
              <w:t>Faster R-CNN (ResNet-50)</w:t>
            </w:r>
          </w:p>
        </w:tc>
        <w:tc>
          <w:tcPr>
            <w:tcW w:type="dxa" w:w="2340"/>
            <w:shd w:fill="FFFFFF"/>
          </w:tcPr>
          <w:p>
            <w:pPr>
              <w:spacing w:before="60" w:after="60" w:line="252" w:lineRule="auto"/>
            </w:pPr>
            <w:r>
              <w:rPr>
                <w:rFonts w:ascii="Calibri" w:hAnsi="Calibri"/>
                <w:color w:val="1E293B"/>
                <w:sz w:val="18"/>
              </w:rPr>
              <w:t>Deep two-stage RoIAlign eliminates false positives on hazardous items, ensuring 100% regulatory compliance in certified dismantling facilities.</w:t>
            </w:r>
          </w:p>
        </w:tc>
      </w:tr>
    </w:tbl>
    <w:p>
      <w:pPr>
        <w:spacing w:after="240"/>
      </w:pPr>
    </w:p>
    <w:p>
      <w:pPr>
        <w:keepNext/>
        <w:spacing w:before="360" w:after="120"/>
      </w:pPr>
      <w:r>
        <w:rPr>
          <w:rFonts w:ascii="Arial" w:hAnsi="Arial"/>
          <w:b/>
          <w:color w:val="1A365D"/>
          <w:sz w:val="30"/>
        </w:rPr>
        <w:t>7. Codebase Artifacts &amp; Reproducibility</w:t>
      </w:r>
    </w:p>
    <w:p>
      <w:pPr>
        <w:spacing w:after="100" w:line="276" w:lineRule="auto"/>
      </w:pPr>
      <w:r>
        <w:rPr>
          <w:rFonts w:ascii="Calibri" w:hAnsi="Calibri"/>
          <w:color w:val="1E293B"/>
          <w:sz w:val="22"/>
        </w:rPr>
        <w:t>All training recipes, checkpoints, logs, and evaluation scripts are stored within the project directory:</w:t>
      </w:r>
    </w:p>
    <w:p>
      <w:pPr>
        <w:spacing w:after="100" w:line="276" w:lineRule="auto"/>
      </w:pPr>
      <w:r>
        <w:rPr>
          <w:rFonts w:ascii="Calibri" w:hAnsi="Calibri"/>
          <w:color w:val="1E293B"/>
          <w:sz w:val="22"/>
        </w:rPr>
        <w:t>• Model 1 (YOLOv5n): WasteDetector/Train_YOLOv5.py | Weights: WasteDetector/runs/yolov5/train/weights/best.pt (5.3 MB) | Launcher: start_training_yolov5.bat</w:t>
        <w:br/>
        <w:t>• Model 2 (YOLOv8n - 50 Ep): WasteDetector/Train_EWaste.py | Weights: WasteDetector/runs/detect/train-8/weights/best.pt (6.5 MB) | Active in web_app.py</w:t>
        <w:br/>
        <w:t>• Model 3 (Faster R-CNN): WasteDetector/Train_FasterRCNN.py | Weights: WasteDetector/runs/faster_rcnn/weights/best.pth (333.1 MB) | Eval: WasteDetector/Evaluate_FasterRCNN.py</w:t>
        <w:br/>
        <w:t>• Dataset Definition: WasteDetector/data.yaml (77 Classes, 19,613 Images, Roboflow Universe v44)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