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b w:val="1"/>
          <w:color w:val="00000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MICROSERVICES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Microservices for account and loan. In these hands-on exercises, we will create two microservices for a bank. One microservice for handing accounts and one for handling loans.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 Account Microservice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0" distT="0" distL="0" distR="0">
            <wp:extent cx="5731510" cy="29375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0" distT="0" distL="0" distR="0">
            <wp:extent cx="5786048" cy="199812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048" cy="199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0" distT="0" distL="0" distR="0">
            <wp:extent cx="5731510" cy="31762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http://localhost:8085/accounts/00987987973432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0" distT="0" distL="0" distR="0">
            <wp:extent cx="4429743" cy="22958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---------------------------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Loan Microservice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</w:rPr>
        <w:drawing>
          <wp:inline distB="0" distT="0" distL="0" distR="0">
            <wp:extent cx="5731510" cy="297561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</w:rPr>
        <w:drawing>
          <wp:inline distB="0" distT="0" distL="0" distR="0">
            <wp:extent cx="5731510" cy="24968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</w:rPr>
        <w:drawing>
          <wp:inline distB="0" distT="0" distL="0" distR="0">
            <wp:extent cx="5731510" cy="27628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http://localhost:8087/loans/H00987987972342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</w:rPr>
        <w:drawing>
          <wp:inline distB="0" distT="0" distL="0" distR="0">
            <wp:extent cx="5020376" cy="275310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5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