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 2026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LTVIP2026TMIDS655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42</w:t>
            </w:r>
            <w:bookmarkStart w:id="0" w:name="_GoBack"/>
            <w:bookmarkEnd w:id="0"/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>
            <w:pPr>
              <w:tabs>
                <w:tab w:val="left" w:pos="272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rFonts w:ascii="Times New Roman" w:hAnsi="Times New Roman" w:cs="Times New Roman"/>
          <w:b/>
        </w:rPr>
      </w:pPr>
    </w:p>
    <w:p w14:paraId="634DE954">
      <w:pPr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b/>
          <w:color w:val="000000"/>
          <w:sz w:val="24"/>
          <w:szCs w:val="24"/>
        </w:rPr>
        <w:t>Solution Architecture:</w:t>
      </w:r>
    </w:p>
    <w:p w14:paraId="753DFD99">
      <w:p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Solution architecture for AutoSage bridges the gap between the problem of unstructured vehicle information and the AI-based technological solution.</w:t>
      </w:r>
    </w:p>
    <w:p w14:paraId="6636BCB5">
      <w:p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The architecture is designed to:</w:t>
      </w:r>
    </w:p>
    <w:p w14:paraId="5CF25BC5">
      <w:pPr>
        <w:numPr>
          <w:ilvl w:val="0"/>
          <w:numId w:val="1"/>
        </w:num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Find the best AI-based solution for vehicle analysis and comparison.</w:t>
      </w:r>
    </w:p>
    <w:p w14:paraId="58B7839C">
      <w:pPr>
        <w:numPr>
          <w:ilvl w:val="0"/>
          <w:numId w:val="1"/>
        </w:num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Define the structure and interaction between UI, backend logic, and AI services.</w:t>
      </w:r>
    </w:p>
    <w:p w14:paraId="1340D8DB">
      <w:pPr>
        <w:numPr>
          <w:ilvl w:val="0"/>
          <w:numId w:val="1"/>
        </w:num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Clearly describe how vehicle images are processed and analyzed.</w:t>
      </w:r>
    </w:p>
    <w:p w14:paraId="39CC1397">
      <w:pPr>
        <w:numPr>
          <w:ilvl w:val="0"/>
          <w:numId w:val="1"/>
        </w:num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Provide specifications for deployment and system management.</w:t>
      </w:r>
    </w:p>
    <w:p w14:paraId="792FA76A">
      <w:pPr>
        <w:rPr>
          <w:rFonts w:ascii="Times New Roman" w:hAnsi="Times New Roman" w:cs="Times New Roman"/>
          <w:b/>
        </w:rPr>
      </w:pPr>
    </w:p>
    <w:p w14:paraId="3436894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eastAsia="Arial" w:cs="Times New Roman"/>
          <w:b/>
          <w:color w:val="000000"/>
          <w:sz w:val="24"/>
          <w:szCs w:val="24"/>
        </w:rPr>
        <w:t>Solution Architecture Diagram</w:t>
      </w:r>
      <w:r>
        <w:rPr>
          <w:rFonts w:ascii="Times New Roman" w:hAnsi="Times New Roman" w:cs="Times New Roman"/>
          <w:b/>
        </w:rPr>
        <w:t xml:space="preserve">: </w:t>
      </w:r>
    </w:p>
    <w:p w14:paraId="2B3DB86C">
      <w:pPr>
        <w:rPr>
          <w:rFonts w:ascii="Times New Roman" w:hAnsi="Times New Roman" w:cs="Times New Roman"/>
          <w:b/>
        </w:rPr>
      </w:pPr>
    </w:p>
    <w:p w14:paraId="79D8C738">
      <w:pPr>
        <w:tabs>
          <w:tab w:val="left" w:pos="5529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3836670" cy="2557780"/>
            <wp:effectExtent l="0" t="0" r="0" b="0"/>
            <wp:docPr id="9364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06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609" cy="25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>
      <w:pPr>
        <w:rPr>
          <w:rFonts w:ascii="Times New Roman" w:hAnsi="Times New Roman" w:cs="Times New Roman"/>
          <w:b/>
        </w:rPr>
      </w:pPr>
    </w:p>
    <w:p w14:paraId="5056DFC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Figure 1 – Architecture Diagram for AutoSage app</w: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F3E2C28-D7C7-4C12-B113-75368ED203D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7C27620-3186-41A0-807A-5E367A9F4F5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4D94870-2050-4EFD-AB4E-F1E22F8A948B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7555DD87-2B20-48ED-9213-137C15AFDBA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3D136CA9-B221-4E5F-B36A-527E0939B8A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87F7FFCE-D0D4-4031-B505-6E2FC727CDA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C392C"/>
    <w:multiLevelType w:val="multilevel"/>
    <w:tmpl w:val="252C39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BC22AA"/>
    <w:rsid w:val="00C246B4"/>
    <w:rsid w:val="00C6049B"/>
    <w:rsid w:val="00CA43ED"/>
    <w:rsid w:val="00D42B2E"/>
    <w:rsid w:val="00E370AF"/>
    <w:rsid w:val="253B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622</Characters>
  <Lines>5</Lines>
  <Paragraphs>1</Paragraphs>
  <TotalTime>5</TotalTime>
  <ScaleCrop>false</ScaleCrop>
  <LinksUpToDate>false</LinksUpToDate>
  <CharactersWithSpaces>730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Nikhitha Reddy Takkoli</cp:lastModifiedBy>
  <dcterms:modified xsi:type="dcterms:W3CDTF">2026-02-17T12:11:32Z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202CD557954C49F6814014C3390891BE_12</vt:lpwstr>
  </property>
</Properties>
</file>