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California Housing Price Prediction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Machine Learning Final Project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Calibri" w:cs="Calibri" w:eastAsia="Calibri" w:hAnsi="Calibri"/>
          <w:sz w:val="23"/>
          <w:szCs w:val="23"/>
        </w:rPr>
        <w:t xml:space="preserve">Group Members: [Names Here]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3"/>
          <w:szCs w:val="23"/>
        </w:rPr>
        <w:t xml:space="preserve">Date: [Insert Date]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Introduction and Problem Statement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We picked the California Housing dataset to build a regression model that predicts median house prices at the district level. Each row in the data represents a census block group — basically a neighborhood — with features like income, number of rooms, population, and proximity to the ocean.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We chose this dataset because the features are easy to understand and it has enough real-world issues (missing values, skewed data, an artificial value cap) to make us go through a proper pipeline instead of just running one model and calling it a day.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The pipeline follows the standard steps: inspect the data, clean it, engineer new features, explore it visually, train multiple models, and compare them with proper metrics.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Dataset Description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Source: 1990 California census, available on Kaggle. 20,640 rows, 10 columns. Each row is a census block group of roughly 600–3,000 people.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longitude, latitude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District GPS coordinates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housing_median_age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Median age of houses (years)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total_rooms, total_bedrooms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Total counts for the whole district, not per house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population, households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People and households in the district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median_income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Median income (tens of thousands $)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ocean_proximity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Categorical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 categories: INLAND, NEAR BAY, &lt;1H OCEAN, NEAR OCEAN, ISLAND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median_house_value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Target — what we’re trying to predict</w:t>
            </w:r>
          </w:p>
        </w:tc>
      </w:tr>
    </w:tbl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Assumptions and Limitations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Target is capped at $500,001 — about 5% of rows hit this ceiling, real values could be much higher.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Housing age caps at 52 years.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These are district-level aggregates, not individual houses.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Data is from 1990 — dollar amounts are in 1990 dollars.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The 207 missing values in total_bedrooms are assumed to be missing at random.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Data Preprocessing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3.1 Missing Values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Only total_bedrooms had missing data: 207 out of 20,640 rows (about 1%). We filled with the median because the column is right-skewed — the mean would be inflated by a few very large districts. We also checked for duplicate rows and found none.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3.2 Feature Engineering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The raw columns total_rooms, total_bedrooms, and population are totals for the whole district. Districts vary a lot in size, so the raw totals don’t tell you much. We created three ratio features: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it captures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rooms_per_household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total_rooms / households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Average home size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bedrooms_per_household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total_bedrooms / households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Average bedrooms per home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population_per_household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population / households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How crowded each household is</w:t>
            </w:r>
          </w:p>
        </w:tc>
      </w:tr>
    </w:tbl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3.3 Outlier Detection and Removal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We found obviously wrong values like 141 rooms per household and 1,200+ people per household. We used the IQR method with a 3x threshold to remove these while keeping real variation. The $500k value cap and age cap at 52 were not treated as outliers.</w:t>
      </w:r>
    </w:p>
    <w:p>
      <w:pPr>
        <w:spacing w:after="60"/>
      </w:pPr>
    </w:p>
    <w:p>
      <w:pPr>
        <w:spacing w:after="4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fig01_boxplots_outlier.png" descr="Figure 1: Boxplots after outlier removal" title="Figure 1: Boxplots after outlier remo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1: Boxplots after outlier removal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3.4 Encoding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We one-hot encoded ocean_proximity (no natural ordering) and dropped one column (drop_first=True) to avoid the dummy variable trap.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3.5 Train/Test Split and Scaling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80/20 split with random_state=42. StandardScaler fitted only on training data to prevent data leakage.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Exploratory Data Analysis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4.1 Target Variable Distribution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Right-skewed, most values between $100k–$250k. Clear spike at $500,001 from the census cap.</w:t>
      </w:r>
    </w:p>
    <w:p>
      <w:pPr>
        <w:spacing w:after="4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fig02_target_dist.png" descr="Figure 2: Target variable — histogram and boxplot" title="Figure 2: Target variable — histogram and box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2: Target variable — histogram and boxplot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4.2 Ocean Proximity vs House Value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NEAR BAY and NEAR OCEAN districts are roughly double the price of INLAND (~$230k vs ~$110k). ISLAND is the most expensive but only 5 districts.</w:t>
      </w:r>
    </w:p>
    <w:p>
      <w:pPr>
        <w:spacing w:after="40"/>
        <w:jc w:val="center"/>
      </w:pPr>
      <w:r>
        <w:drawing>
          <wp:inline distT="0" distB="0" distL="0" distR="0">
            <wp:extent cx="4953000" cy="2438400"/>
            <wp:effectExtent t="0" r="0" b="0" l="0"/>
            <wp:docPr id="1" name="fig03_ocean_proximity.png" descr="Figure 3: House value by ocean proximity" title="Figure 3: House value by ocean proxim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3: House value by ocean proximity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4.3 Income vs House Value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Strong upward trend. The spread gets wider at higher incomes. The horizontal band at $500k is the value cap.</w:t>
      </w:r>
    </w:p>
    <w:p>
      <w:pPr>
        <w:spacing w:after="40"/>
        <w:jc w:val="center"/>
      </w:pPr>
      <w:r>
        <w:drawing>
          <wp:inline distT="0" distB="0" distL="0" distR="0">
            <wp:extent cx="4572000" cy="2714625"/>
            <wp:effectExtent t="0" r="0" b="0" l="0"/>
            <wp:docPr id="1" name="fig04_income_vs_value.png" descr="Figure 4: Median income vs house value" title="Figure 4: Median income vs hous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4: Median income vs house value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4.4 Geographic Distribution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Expensive districts cluster along the coast (San Francisco, Los Angeles). Inland areas are consistently cheaper.</w:t>
      </w:r>
    </w:p>
    <w:p>
      <w:pPr>
        <w:spacing w:after="40"/>
        <w:jc w:val="center"/>
      </w:pPr>
      <w:r>
        <w:drawing>
          <wp:inline distT="0" distB="0" distL="0" distR="0">
            <wp:extent cx="4191000" cy="2895600"/>
            <wp:effectExtent t="0" r="0" b="0" l="0"/>
            <wp:docPr id="1" name="fig05_geographic.png" descr="Figure 5: Geographic distribution of house values" title="Figure 5: Geographic distribution of house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5: Geographic distribution of house values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4.5 Correlation Analysis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median_income has the strongest correlation with house value (r = 0.68). Count features are highly correlated with each other (&gt;0.85), confirming redundancy.</w:t>
      </w:r>
    </w:p>
    <w:p>
      <w:pPr>
        <w:spacing w:after="40"/>
        <w:jc w:val="center"/>
      </w:pPr>
      <w:r>
        <w:drawing>
          <wp:inline distT="0" distB="0" distL="0" distR="0">
            <wp:extent cx="4191000" cy="3790950"/>
            <wp:effectExtent t="0" r="0" b="0" l="0"/>
            <wp:docPr id="1" name="fig06_correlation.png" descr="Figure 6: Feature correlation matrix" title="Figure 6: Feature correlat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6: Feature correlation matrix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4.6 Pairplot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The bottom row shows each feature vs house_value. Only median_income shows a clear linear pattern; the others need non-linear models to capture their relationships.</w:t>
      </w:r>
    </w:p>
    <w:p>
      <w:pPr>
        <w:spacing w:after="40"/>
        <w:jc w:val="center"/>
      </w:pPr>
      <w:r>
        <w:drawing>
          <wp:inline distT="0" distB="0" distL="0" distR="0">
            <wp:extent cx="4000500" cy="4143375"/>
            <wp:effectExtent t="0" r="0" b="0" l="0"/>
            <wp:docPr id="1" name="fig07_pairplot.png" descr="Figure 7: Pairplot of key features" title="Figure 7: Pairplot of key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7: Pairplot of key features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Model Selection and Training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We trained 7 models from 4 algorithm families with 5-fold cross-validation: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Family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Linear Regression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Linear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Simplest baseline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Ridge (L2)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Linear + regularization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Handles multicollinearity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Lasso (L1)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Linear + regularization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Can zero out useless features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KNN (k=5)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Distance-based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Captures local patterns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Decision Tree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Tree-based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Non-linear but tends to overfit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Ensemble (bagging)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Averages many trees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Gradient Boosting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Ensemble (boosting)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Sequential error correction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All ensemble models used 200 estimators with random_state=42. No hyperparameter tuning beyond defaults.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Evaluation Results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We used R², RMSE, and MAE on the test set, plus cross-validation R² for stability.</w:t>
      </w:r>
    </w:p>
    <w:p>
      <w:pPr>
        <w:spacing w:after="60"/>
      </w:pP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800"/>
        <w:gridCol w:w="1500"/>
        <w:gridCol w:w="1500"/>
      </w:tblGrid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Rank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R²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RMSE ($)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MAE ($)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Gradient Boosting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0.8134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$48,977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$33,479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0.8090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$49,551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$32,331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KNN (k=5)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0.7211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$59,883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$41,241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Linear Regression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0.6840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$63,744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$46,932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Ridge (L2)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0.6840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$63,744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$46,931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Lasso (L1)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0.6840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$63,744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$46,932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Decision Tree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0.6293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$69,039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$44,241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i/>
          <w:iCs/>
          <w:sz w:val="23"/>
          <w:szCs w:val="23"/>
        </w:rPr>
        <w:t xml:space="preserve">All values from notebook run with random_state=42.</w:t>
      </w:r>
    </w:p>
    <w:p>
      <w:pPr>
        <w:spacing w:after="60"/>
      </w:pPr>
    </w:p>
    <w:p>
      <w:pPr>
        <w:spacing w:after="40"/>
        <w:jc w:val="center"/>
      </w:pPr>
      <w:r>
        <w:drawing>
          <wp:inline distT="0" distB="0" distL="0" distR="0">
            <wp:extent cx="5334000" cy="1990725"/>
            <wp:effectExtent t="0" r="0" b="0" l="0"/>
            <wp:docPr id="1" name="fig08_model_comparison.png" descr="Figure 8: Model comparison — R² and RMSE" title="Figure 8: Model comparison — R² and RM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8: Model comparison — R² and RMSE</w:t>
      </w:r>
    </w:p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Gradient Boosting wins with R² = 0.8134 and RMSE of ~$49k. Linear models all plateau at 0.6840 — regularization doesn’t help because the problem isn’t overfitting, it’s that the relationship isn’t linear. Decision Tree overfits badly.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Best Model Deep Dive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7.1 Feature Importance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median_income dominates at 0.53, followed by ocean_proximity_INLAND and population_per_household. Location features (longitude, latitude) also contribute. The engineered features rank higher than the raw counts, validating our feature engineering.</w:t>
      </w:r>
    </w:p>
    <w:p>
      <w:pPr>
        <w:spacing w:after="40"/>
        <w:jc w:val="center"/>
      </w:pPr>
      <w:r>
        <w:drawing>
          <wp:inline distT="0" distB="0" distL="0" distR="0">
            <wp:extent cx="4572000" cy="3181350"/>
            <wp:effectExtent t="0" r="0" b="0" l="0"/>
            <wp:docPr id="1" name="fig09_feature_importance.png" descr="Figure 9: Feature importance — Gradient Boosting" title="Figure 9: Feature importance — Gradient Boo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9: Feature importance — Gradient Boosting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7.2 Actual vs Predicted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Most points cluster around the diagonal. Predictions get noisier at high prices, especially near the $500k cap where the vertical cluster of dots shows the model struggling with capped values.</w:t>
      </w:r>
    </w:p>
    <w:p>
      <w:pPr>
        <w:spacing w:after="40"/>
        <w:jc w:val="center"/>
      </w:pPr>
      <w:r>
        <w:drawing>
          <wp:inline distT="0" distB="0" distL="0" distR="0">
            <wp:extent cx="3810000" cy="4248150"/>
            <wp:effectExtent t="0" r="0" b="0" l="0"/>
            <wp:docPr id="1" name="fig10_actual_predicted.png" descr="Figure 10: Actual vs predicted — Gradient Boosting (R² = 0.8134)" title="Figure 10: Actual vs predicted — Gradient Boosting (R² = 0.81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10: Actual vs predicted — Gradient Boosting (R² = 0.8134)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7.3 Residual Analysis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Residuals are centered around zero and roughly bell-shaped. The Q-Q plot shows deviation at the tails, which is expected with the value cap. Errors increase for more expensive districts — a data limitation, not a model problem.</w:t>
      </w:r>
    </w:p>
    <w:p>
      <w:pPr>
        <w:spacing w:after="40"/>
        <w:jc w:val="center"/>
      </w:pPr>
      <w:r>
        <w:drawing>
          <wp:inline distT="0" distB="0" distL="0" distR="0">
            <wp:extent cx="5334000" cy="1466850"/>
            <wp:effectExtent t="0" r="0" b="0" l="0"/>
            <wp:docPr id="1" name="fig11_residuals.png" descr="Figure 11: Residual analysis — Gradient Boosting" title="Figure 11: Residual analysis — Gradient Boo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11: Residual analysis — Gradient Boosting</w:t>
      </w:r>
    </w:p>
    <w:p>
      <w:pPr>
        <w:spacing w:after="60"/>
      </w:pP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Conclusions</w:t>
      </w:r>
    </w:p>
    <w:p>
      <w:pPr>
        <w:spacing w:after="140" w:line="276"/>
      </w:pPr>
      <w:r>
        <w:rPr>
          <w:rFonts w:ascii="Calibri" w:cs="Calibri" w:eastAsia="Calibri" w:hAnsi="Calibri"/>
          <w:sz w:val="23"/>
          <w:szCs w:val="23"/>
        </w:rPr>
        <w:t xml:space="preserve">We built an end-to-end pipeline for California housing price prediction. Main findings: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Income is the strongest predictor, followed by location and ocean proximity.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Feature engineering (per-household ratios) added useful signal.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Gradient Boosting achieved R² = 0.8134, significantly outperforming linear models (R² = 0.6840).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The $500k value cap is the main accuracy bottleneck.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Possible Improvements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Hyperparameter tuning with GridSearchCV or Optuna.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Remove or log-transform capped values.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Add external data (school ratings, crime stats, commute times).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Try XGBoost and LightGBM.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3"/>
          <w:szCs w:val="23"/>
        </w:rPr>
        <w:t xml:space="preserve">Model stacking — combining predictions from multiple models.</w:t>
      </w:r>
    </w:p>
    <w:p>
      <w:pPr>
        <w:spacing w:after="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Decision Rationale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Decision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Missing data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Median imputation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Robust to skew, only 1% missing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Features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Per-household ratios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Normalize for district size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Outliers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IQR method (3x)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Removes clearly wrong data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Encoding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One-hot, drop_first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 ordering; avoid dummy trap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Split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80/20, seed=42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Standard, reproducible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Scaling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StandardScaler (train only)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Prevent data leakage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Models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 models, 4 families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Fair comparison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Metrics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R², RMSE, MAE, 5-fold CV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Multiple perspectives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California Housing — Final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2eb2bdf4a54ddb51ca07cc78990e827798994e7.png"/><Relationship Id="rId10" Type="http://schemas.openxmlformats.org/officeDocument/2006/relationships/image" Target="media/205064baf59c7a6d62c76f382f2a7646871fe574.png"/><Relationship Id="rId11" Type="http://schemas.openxmlformats.org/officeDocument/2006/relationships/image" Target="media/276e277a9067e687360ef545eb043250064bb80d.png"/><Relationship Id="rId12" Type="http://schemas.openxmlformats.org/officeDocument/2006/relationships/image" Target="media/8acbddba541c1cf42db2b8ec2fc4bd30f2025671.png"/><Relationship Id="rId13" Type="http://schemas.openxmlformats.org/officeDocument/2006/relationships/image" Target="media/8d9d8ed723905bed5a012dddeefca29416610ae7.png"/><Relationship Id="rId14" Type="http://schemas.openxmlformats.org/officeDocument/2006/relationships/image" Target="media/05af646876af92ea7d173d9c97ef725e2b55d0dd.png"/><Relationship Id="rId15" Type="http://schemas.openxmlformats.org/officeDocument/2006/relationships/image" Target="media/5e3f3ca11afea42c08538d953f1e9218728406e2.png"/><Relationship Id="rId16" Type="http://schemas.openxmlformats.org/officeDocument/2006/relationships/image" Target="media/67757fff4f8c8dbcff3ff11600cac61f1609a308.png"/><Relationship Id="rId17" Type="http://schemas.openxmlformats.org/officeDocument/2006/relationships/image" Target="media/c646449bbaa1895c2b6c79cd3bc1168203e9d74c.png"/><Relationship Id="rId18" Type="http://schemas.openxmlformats.org/officeDocument/2006/relationships/image" Target="media/cdba8bf650c6686115296f10ac36baaaf7c32bb1.png"/><Relationship Id="rId19" Type="http://schemas.openxmlformats.org/officeDocument/2006/relationships/image" Target="media/4e2ba246b953b3e397797be8be1dfb1bfeee71f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2026-04-05T13:29:35.888Z</dcterms:created>
  <dcterms:modified xsi:type="dcterms:W3CDTF">2026-04-05T13:29:35.889Z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