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6A" w:rsidRPr="002144A1" w:rsidRDefault="0042596A" w:rsidP="0042596A">
      <w:pPr>
        <w:jc w:val="center"/>
        <w:rPr>
          <w:b/>
          <w:sz w:val="40"/>
          <w:szCs w:val="40"/>
        </w:rPr>
      </w:pPr>
      <w:r w:rsidRPr="002144A1">
        <w:rPr>
          <w:b/>
          <w:sz w:val="40"/>
          <w:szCs w:val="40"/>
        </w:rPr>
        <w:t>Airbus and Boeing: Super Jumbo Decisions</w:t>
      </w:r>
    </w:p>
    <w:p w:rsidR="0044658D" w:rsidRPr="00E5501F" w:rsidRDefault="0044658D" w:rsidP="0044658D">
      <w:pPr>
        <w:pStyle w:val="NoSpacing"/>
        <w:rPr>
          <w:b/>
          <w:sz w:val="24"/>
          <w:lang w:val="en-IN"/>
        </w:rPr>
      </w:pPr>
      <w:r w:rsidRPr="00E5501F">
        <w:rPr>
          <w:b/>
          <w:sz w:val="24"/>
          <w:lang w:val="en-IN"/>
        </w:rPr>
        <w:t>Prasad CVDK -</w:t>
      </w:r>
      <w:r w:rsidRPr="00E5501F"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>716200</w:t>
      </w:r>
      <w:proofErr w:type="gramStart"/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</w:r>
      <w:proofErr w:type="spellStart"/>
      <w:r w:rsidRPr="00E5501F">
        <w:rPr>
          <w:b/>
          <w:sz w:val="24"/>
          <w:lang w:val="en-IN"/>
        </w:rPr>
        <w:t>Imtiaz</w:t>
      </w:r>
      <w:proofErr w:type="spellEnd"/>
      <w:r w:rsidRPr="00E5501F">
        <w:rPr>
          <w:b/>
          <w:sz w:val="24"/>
          <w:lang w:val="en-IN"/>
        </w:rPr>
        <w:t xml:space="preserve"> Khan</w:t>
      </w:r>
      <w:proofErr w:type="gramEnd"/>
      <w:r w:rsidRPr="00E5501F">
        <w:rPr>
          <w:b/>
          <w:sz w:val="24"/>
          <w:lang w:val="en-IN"/>
        </w:rPr>
        <w:t xml:space="preserve"> – 71620031</w:t>
      </w:r>
    </w:p>
    <w:p w:rsidR="0044658D" w:rsidRPr="00E5501F" w:rsidRDefault="0044658D" w:rsidP="0044658D">
      <w:pPr>
        <w:pStyle w:val="NoSpacing"/>
        <w:rPr>
          <w:b/>
          <w:sz w:val="24"/>
          <w:lang w:val="en-IN"/>
        </w:rPr>
      </w:pPr>
      <w:proofErr w:type="spellStart"/>
      <w:r w:rsidRPr="00E5501F">
        <w:rPr>
          <w:b/>
          <w:sz w:val="24"/>
          <w:lang w:val="en-IN"/>
        </w:rPr>
        <w:t>Venu</w:t>
      </w:r>
      <w:proofErr w:type="spellEnd"/>
      <w:r w:rsidRPr="00E5501F">
        <w:rPr>
          <w:b/>
          <w:sz w:val="24"/>
          <w:lang w:val="en-IN"/>
        </w:rPr>
        <w:t xml:space="preserve"> </w:t>
      </w:r>
      <w:proofErr w:type="spellStart"/>
      <w:proofErr w:type="gramStart"/>
      <w:r w:rsidRPr="00E5501F">
        <w:rPr>
          <w:b/>
          <w:sz w:val="24"/>
          <w:lang w:val="en-IN"/>
        </w:rPr>
        <w:t>Karadi</w:t>
      </w:r>
      <w:proofErr w:type="spellEnd"/>
      <w:r w:rsidRPr="00E5501F">
        <w:rPr>
          <w:b/>
          <w:sz w:val="24"/>
          <w:lang w:val="en-IN"/>
        </w:rPr>
        <w:t xml:space="preserve">  -</w:t>
      </w:r>
      <w:proofErr w:type="gramEnd"/>
      <w:r w:rsidRPr="00E5501F">
        <w:rPr>
          <w:b/>
          <w:sz w:val="24"/>
          <w:lang w:val="en-IN"/>
        </w:rPr>
        <w:t xml:space="preserve"> 71620084</w:t>
      </w:r>
      <w:r w:rsidRPr="00E5501F">
        <w:rPr>
          <w:b/>
          <w:sz w:val="24"/>
          <w:lang w:val="en-IN"/>
        </w:rPr>
        <w:tab/>
      </w:r>
      <w:r w:rsidRPr="00E5501F">
        <w:rPr>
          <w:b/>
          <w:sz w:val="24"/>
          <w:lang w:val="en-IN"/>
        </w:rPr>
        <w:tab/>
      </w:r>
      <w:r w:rsidRPr="00E5501F">
        <w:rPr>
          <w:b/>
          <w:sz w:val="24"/>
          <w:lang w:val="en-IN"/>
        </w:rPr>
        <w:tab/>
      </w:r>
      <w:r w:rsidRPr="00E5501F">
        <w:rPr>
          <w:b/>
          <w:sz w:val="24"/>
          <w:lang w:val="en-IN"/>
        </w:rPr>
        <w:tab/>
      </w:r>
      <w:r w:rsidRPr="00E5501F">
        <w:rPr>
          <w:b/>
          <w:sz w:val="24"/>
          <w:lang w:val="en-IN"/>
        </w:rPr>
        <w:tab/>
        <w:t>Nikita Jaikar - 71620044</w:t>
      </w:r>
    </w:p>
    <w:p w:rsidR="0044658D" w:rsidRPr="0042596A" w:rsidRDefault="0044658D" w:rsidP="0044658D">
      <w:pPr>
        <w:rPr>
          <w:b/>
          <w:sz w:val="28"/>
          <w:szCs w:val="28"/>
        </w:rPr>
      </w:pPr>
    </w:p>
    <w:p w:rsidR="00A55021" w:rsidRPr="0044658D" w:rsidRDefault="00A55021" w:rsidP="0077502C">
      <w:pPr>
        <w:rPr>
          <w:b/>
          <w:sz w:val="24"/>
          <w:szCs w:val="24"/>
          <w:u w:val="single"/>
        </w:rPr>
      </w:pPr>
      <w:r w:rsidRPr="0044658D">
        <w:rPr>
          <w:b/>
          <w:sz w:val="24"/>
          <w:szCs w:val="24"/>
          <w:u w:val="single"/>
        </w:rPr>
        <w:t xml:space="preserve">Objective: </w:t>
      </w:r>
    </w:p>
    <w:p w:rsidR="00A55021" w:rsidRDefault="00A55021" w:rsidP="0077502C">
      <w:pPr>
        <w:rPr>
          <w:sz w:val="24"/>
          <w:szCs w:val="24"/>
        </w:rPr>
      </w:pPr>
      <w:r>
        <w:rPr>
          <w:sz w:val="24"/>
          <w:szCs w:val="24"/>
        </w:rPr>
        <w:t>The objective of the case study is to assess the following:</w:t>
      </w:r>
    </w:p>
    <w:p w:rsidR="00A55021" w:rsidRPr="00A55021" w:rsidRDefault="00A55021" w:rsidP="00A550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5021">
        <w:rPr>
          <w:sz w:val="24"/>
          <w:szCs w:val="24"/>
        </w:rPr>
        <w:t xml:space="preserve">Whether Airbus and Boeing were right about the number of </w:t>
      </w:r>
      <w:r w:rsidR="00053803" w:rsidRPr="00A55021">
        <w:rPr>
          <w:sz w:val="24"/>
          <w:szCs w:val="24"/>
        </w:rPr>
        <w:t>super jumbos</w:t>
      </w:r>
      <w:r w:rsidRPr="00A55021">
        <w:rPr>
          <w:sz w:val="24"/>
          <w:szCs w:val="24"/>
        </w:rPr>
        <w:t xml:space="preserve"> that would be sold</w:t>
      </w:r>
    </w:p>
    <w:p w:rsidR="00A55021" w:rsidRPr="00A55021" w:rsidRDefault="00A55021" w:rsidP="00A550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5021">
        <w:rPr>
          <w:sz w:val="24"/>
          <w:szCs w:val="24"/>
        </w:rPr>
        <w:t xml:space="preserve">Should either company invest in the </w:t>
      </w:r>
      <w:r w:rsidR="00053803">
        <w:rPr>
          <w:sz w:val="24"/>
          <w:szCs w:val="24"/>
        </w:rPr>
        <w:t xml:space="preserve">superjumbo </w:t>
      </w:r>
      <w:r w:rsidRPr="00A55021">
        <w:rPr>
          <w:sz w:val="24"/>
          <w:szCs w:val="24"/>
        </w:rPr>
        <w:t>project</w:t>
      </w:r>
    </w:p>
    <w:p w:rsidR="00A55021" w:rsidRPr="0044658D" w:rsidRDefault="00A55021" w:rsidP="0077502C">
      <w:pPr>
        <w:rPr>
          <w:b/>
          <w:sz w:val="24"/>
          <w:szCs w:val="24"/>
          <w:u w:val="single"/>
        </w:rPr>
      </w:pPr>
      <w:r w:rsidRPr="0044658D">
        <w:rPr>
          <w:b/>
          <w:sz w:val="24"/>
          <w:szCs w:val="24"/>
          <w:u w:val="single"/>
        </w:rPr>
        <w:t xml:space="preserve">Key </w:t>
      </w:r>
      <w:r w:rsidR="006E0FEB" w:rsidRPr="0044658D">
        <w:rPr>
          <w:b/>
          <w:sz w:val="24"/>
          <w:szCs w:val="24"/>
          <w:u w:val="single"/>
        </w:rPr>
        <w:t>principles/</w:t>
      </w:r>
      <w:r w:rsidRPr="0044658D">
        <w:rPr>
          <w:b/>
          <w:sz w:val="24"/>
          <w:szCs w:val="24"/>
          <w:u w:val="single"/>
        </w:rPr>
        <w:t>consideration</w:t>
      </w:r>
      <w:r w:rsidR="00247962" w:rsidRPr="0044658D">
        <w:rPr>
          <w:b/>
          <w:sz w:val="24"/>
          <w:szCs w:val="24"/>
          <w:u w:val="single"/>
        </w:rPr>
        <w:t>s</w:t>
      </w:r>
      <w:r w:rsidRPr="0044658D">
        <w:rPr>
          <w:b/>
          <w:sz w:val="24"/>
          <w:szCs w:val="24"/>
          <w:u w:val="single"/>
        </w:rPr>
        <w:t>:</w:t>
      </w:r>
    </w:p>
    <w:p w:rsidR="00247962" w:rsidRPr="00247962" w:rsidRDefault="00247962" w:rsidP="0077502C">
      <w:pPr>
        <w:rPr>
          <w:sz w:val="24"/>
          <w:szCs w:val="24"/>
        </w:rPr>
      </w:pPr>
      <w:r w:rsidRPr="00247962">
        <w:rPr>
          <w:sz w:val="24"/>
          <w:szCs w:val="24"/>
        </w:rPr>
        <w:t xml:space="preserve">Following are the key </w:t>
      </w:r>
      <w:r w:rsidR="006E0FEB">
        <w:rPr>
          <w:sz w:val="24"/>
          <w:szCs w:val="24"/>
        </w:rPr>
        <w:t>principles/</w:t>
      </w:r>
      <w:r w:rsidRPr="00247962">
        <w:rPr>
          <w:sz w:val="24"/>
          <w:szCs w:val="24"/>
        </w:rPr>
        <w:t>considerations</w:t>
      </w:r>
      <w:r w:rsidR="006E0FEB">
        <w:rPr>
          <w:sz w:val="24"/>
          <w:szCs w:val="24"/>
        </w:rPr>
        <w:t xml:space="preserve"> driving the simulation exercise</w:t>
      </w:r>
      <w:r w:rsidRPr="00247962">
        <w:rPr>
          <w:sz w:val="24"/>
          <w:szCs w:val="24"/>
        </w:rPr>
        <w:t>:</w:t>
      </w:r>
    </w:p>
    <w:p w:rsidR="00A55021" w:rsidRDefault="00A55021" w:rsidP="002479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7962">
        <w:rPr>
          <w:sz w:val="24"/>
          <w:szCs w:val="24"/>
        </w:rPr>
        <w:t>Market share in the VLA segment determined the attractiveness of the project for each company</w:t>
      </w:r>
    </w:p>
    <w:p w:rsidR="00247962" w:rsidRDefault="00247962" w:rsidP="002479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Super jumbo initial orders and deliveries-to-order ratio follow triangular distribution</w:t>
      </w:r>
    </w:p>
    <w:p w:rsidR="00247962" w:rsidRPr="00247962" w:rsidRDefault="00F15236" w:rsidP="002479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Simulate such that probability that NPV of the project after </w:t>
      </w:r>
      <w:r w:rsidR="002B70C5">
        <w:rPr>
          <w:sz w:val="24"/>
          <w:szCs w:val="24"/>
        </w:rPr>
        <w:t xml:space="preserve">deducting </w:t>
      </w:r>
      <w:r>
        <w:rPr>
          <w:sz w:val="24"/>
          <w:szCs w:val="24"/>
        </w:rPr>
        <w:t xml:space="preserve">the development costs is positive for both companies can be deduced </w:t>
      </w:r>
      <w:r w:rsidR="006E0FEB">
        <w:rPr>
          <w:sz w:val="24"/>
          <w:szCs w:val="24"/>
        </w:rPr>
        <w:t>and in turn the market share in the VLA segment</w:t>
      </w:r>
    </w:p>
    <w:p w:rsidR="00A55021" w:rsidRPr="0044658D" w:rsidRDefault="00A55021" w:rsidP="0077502C">
      <w:pPr>
        <w:rPr>
          <w:b/>
          <w:sz w:val="24"/>
          <w:szCs w:val="24"/>
          <w:u w:val="single"/>
        </w:rPr>
      </w:pPr>
      <w:r w:rsidRPr="0044658D">
        <w:rPr>
          <w:b/>
          <w:sz w:val="24"/>
          <w:szCs w:val="24"/>
          <w:u w:val="single"/>
        </w:rPr>
        <w:t>Approach:</w:t>
      </w:r>
    </w:p>
    <w:p w:rsidR="00A55021" w:rsidRDefault="006E0FEB" w:rsidP="0077502C">
      <w:pPr>
        <w:rPr>
          <w:sz w:val="24"/>
          <w:szCs w:val="24"/>
        </w:rPr>
      </w:pPr>
      <w:r>
        <w:rPr>
          <w:sz w:val="24"/>
          <w:szCs w:val="24"/>
        </w:rPr>
        <w:t xml:space="preserve">The simulation is run </w:t>
      </w:r>
      <w:r w:rsidR="0042596A">
        <w:rPr>
          <w:sz w:val="24"/>
          <w:szCs w:val="24"/>
        </w:rPr>
        <w:t>for each of</w:t>
      </w:r>
      <w:r>
        <w:rPr>
          <w:sz w:val="24"/>
          <w:szCs w:val="24"/>
        </w:rPr>
        <w:t xml:space="preserve"> the following scenarios</w:t>
      </w:r>
      <w:r w:rsidR="0042596A">
        <w:rPr>
          <w:sz w:val="24"/>
          <w:szCs w:val="24"/>
        </w:rPr>
        <w:t xml:space="preserve"> to assess the NPV and respective market shares.</w:t>
      </w:r>
    </w:p>
    <w:p w:rsidR="002B70C5" w:rsidRDefault="002B70C5" w:rsidP="002B70C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Only Airbus enters the superjumbo market</w:t>
      </w:r>
    </w:p>
    <w:p w:rsidR="002B70C5" w:rsidRDefault="002B70C5" w:rsidP="002B70C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Only Boeing enters the superjumbo market</w:t>
      </w:r>
    </w:p>
    <w:p w:rsidR="002B70C5" w:rsidRPr="002B70C5" w:rsidRDefault="002B70C5" w:rsidP="002B70C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Both enter the superjumbo market</w:t>
      </w:r>
    </w:p>
    <w:p w:rsidR="002B70C5" w:rsidRPr="0044658D" w:rsidRDefault="002B70C5" w:rsidP="0077502C">
      <w:pPr>
        <w:rPr>
          <w:b/>
          <w:sz w:val="24"/>
          <w:szCs w:val="24"/>
          <w:u w:val="single"/>
        </w:rPr>
      </w:pPr>
      <w:r w:rsidRPr="0044658D">
        <w:rPr>
          <w:b/>
          <w:sz w:val="24"/>
          <w:szCs w:val="24"/>
          <w:u w:val="single"/>
        </w:rPr>
        <w:t>Results: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1984"/>
        <w:gridCol w:w="3656"/>
      </w:tblGrid>
      <w:tr w:rsidR="00F37E86" w:rsidTr="00AC0164">
        <w:tc>
          <w:tcPr>
            <w:tcW w:w="9576" w:type="dxa"/>
            <w:gridSpan w:val="4"/>
          </w:tcPr>
          <w:p w:rsidR="00F37E86" w:rsidRDefault="00F37E86" w:rsidP="002B70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VLA </w:t>
            </w:r>
            <w:r w:rsidRPr="00ED0747">
              <w:rPr>
                <w:b/>
                <w:sz w:val="24"/>
                <w:szCs w:val="24"/>
              </w:rPr>
              <w:t>Market Share</w:t>
            </w:r>
            <w:r>
              <w:rPr>
                <w:b/>
                <w:sz w:val="24"/>
                <w:szCs w:val="24"/>
              </w:rPr>
              <w:t xml:space="preserve"> r</w:t>
            </w:r>
            <w:r w:rsidRPr="00ED0747">
              <w:rPr>
                <w:b/>
                <w:sz w:val="24"/>
                <w:szCs w:val="24"/>
              </w:rPr>
              <w:t>epresentation</w:t>
            </w:r>
            <w:r w:rsidR="005A0B6E">
              <w:rPr>
                <w:b/>
                <w:sz w:val="24"/>
                <w:szCs w:val="24"/>
              </w:rPr>
              <w:t xml:space="preserve"> – decision matrix</w:t>
            </w:r>
          </w:p>
        </w:tc>
      </w:tr>
      <w:tr w:rsidR="00A14E54" w:rsidTr="0042596A">
        <w:tc>
          <w:tcPr>
            <w:tcW w:w="2093" w:type="dxa"/>
          </w:tcPr>
          <w:p w:rsidR="00A14E54" w:rsidRPr="0042596A" w:rsidRDefault="0042596A">
            <w:pPr>
              <w:rPr>
                <w:b/>
                <w:sz w:val="24"/>
                <w:szCs w:val="24"/>
              </w:rPr>
            </w:pPr>
            <w:r w:rsidRPr="0042596A">
              <w:rPr>
                <w:b/>
                <w:sz w:val="24"/>
                <w:szCs w:val="24"/>
              </w:rPr>
              <w:t>Scenario</w:t>
            </w:r>
          </w:p>
        </w:tc>
        <w:tc>
          <w:tcPr>
            <w:tcW w:w="1843" w:type="dxa"/>
          </w:tcPr>
          <w:p w:rsidR="00A14E54" w:rsidRPr="00101378" w:rsidRDefault="00A14E54" w:rsidP="00A14E54">
            <w:pPr>
              <w:jc w:val="center"/>
              <w:rPr>
                <w:b/>
                <w:sz w:val="24"/>
                <w:szCs w:val="24"/>
              </w:rPr>
            </w:pPr>
            <w:r w:rsidRPr="00101378">
              <w:rPr>
                <w:b/>
                <w:sz w:val="24"/>
                <w:szCs w:val="24"/>
              </w:rPr>
              <w:t>Airbus</w:t>
            </w:r>
          </w:p>
        </w:tc>
        <w:tc>
          <w:tcPr>
            <w:tcW w:w="1984" w:type="dxa"/>
          </w:tcPr>
          <w:p w:rsidR="00A14E54" w:rsidRPr="00101378" w:rsidRDefault="00A14E54" w:rsidP="00A14E54">
            <w:pPr>
              <w:jc w:val="center"/>
              <w:rPr>
                <w:b/>
                <w:sz w:val="24"/>
                <w:szCs w:val="24"/>
              </w:rPr>
            </w:pPr>
            <w:r w:rsidRPr="00101378">
              <w:rPr>
                <w:b/>
                <w:sz w:val="24"/>
                <w:szCs w:val="24"/>
              </w:rPr>
              <w:t>Boeing</w:t>
            </w:r>
          </w:p>
        </w:tc>
        <w:tc>
          <w:tcPr>
            <w:tcW w:w="3656" w:type="dxa"/>
          </w:tcPr>
          <w:p w:rsidR="00A14E54" w:rsidRPr="00101378" w:rsidRDefault="00A14E54" w:rsidP="00A14E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</w:tr>
      <w:tr w:rsidR="00A14E54" w:rsidTr="0042596A">
        <w:tc>
          <w:tcPr>
            <w:tcW w:w="2093" w:type="dxa"/>
          </w:tcPr>
          <w:p w:rsidR="00A14E54" w:rsidRPr="0042596A" w:rsidRDefault="00A14E54">
            <w:pPr>
              <w:rPr>
                <w:sz w:val="24"/>
                <w:szCs w:val="24"/>
              </w:rPr>
            </w:pPr>
            <w:r w:rsidRPr="0042596A">
              <w:rPr>
                <w:sz w:val="24"/>
                <w:szCs w:val="24"/>
              </w:rPr>
              <w:t>Only Airbus</w:t>
            </w:r>
            <w:r w:rsidR="0042596A" w:rsidRPr="0042596A">
              <w:rPr>
                <w:sz w:val="24"/>
                <w:szCs w:val="24"/>
              </w:rPr>
              <w:t xml:space="preserve"> p</w:t>
            </w:r>
            <w:r w:rsidRPr="0042596A">
              <w:rPr>
                <w:sz w:val="24"/>
                <w:szCs w:val="24"/>
              </w:rPr>
              <w:t>roduces superjumbo</w:t>
            </w:r>
          </w:p>
        </w:tc>
        <w:tc>
          <w:tcPr>
            <w:tcW w:w="1843" w:type="dxa"/>
          </w:tcPr>
          <w:p w:rsidR="00A14E54" w:rsidRDefault="00A14E54" w:rsidP="00A14E54">
            <w:pPr>
              <w:jc w:val="center"/>
              <w:rPr>
                <w:sz w:val="24"/>
                <w:szCs w:val="24"/>
              </w:rPr>
            </w:pPr>
            <w:r w:rsidRPr="00A14E54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%</w:t>
            </w:r>
            <w:r w:rsidR="009103C1">
              <w:rPr>
                <w:sz w:val="24"/>
                <w:szCs w:val="24"/>
              </w:rPr>
              <w:t>*</w:t>
            </w:r>
          </w:p>
        </w:tc>
        <w:tc>
          <w:tcPr>
            <w:tcW w:w="1984" w:type="dxa"/>
          </w:tcPr>
          <w:p w:rsidR="00A14E54" w:rsidRDefault="00A14E54" w:rsidP="00A14E54">
            <w:pPr>
              <w:jc w:val="center"/>
              <w:rPr>
                <w:sz w:val="24"/>
                <w:szCs w:val="24"/>
              </w:rPr>
            </w:pPr>
            <w:r w:rsidRPr="00A14E54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3656" w:type="dxa"/>
          </w:tcPr>
          <w:p w:rsidR="00A14E54" w:rsidRPr="00A14E54" w:rsidRDefault="008A2792" w:rsidP="00F37E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 values of the market share</w:t>
            </w:r>
            <w:r w:rsidR="00F37E86">
              <w:rPr>
                <w:sz w:val="24"/>
                <w:szCs w:val="24"/>
              </w:rPr>
              <w:t xml:space="preserve">. Probability that Airbus’s NPV for superjumbo is negative is </w:t>
            </w:r>
            <w:r w:rsidR="00F37E86" w:rsidRPr="00F37E86">
              <w:rPr>
                <w:sz w:val="24"/>
                <w:szCs w:val="24"/>
              </w:rPr>
              <w:t>0</w:t>
            </w:r>
            <w:r w:rsidR="00F37E86">
              <w:rPr>
                <w:sz w:val="24"/>
                <w:szCs w:val="24"/>
              </w:rPr>
              <w:t>.3%</w:t>
            </w:r>
          </w:p>
        </w:tc>
      </w:tr>
      <w:tr w:rsidR="00A14E54" w:rsidTr="0042596A">
        <w:tc>
          <w:tcPr>
            <w:tcW w:w="2093" w:type="dxa"/>
          </w:tcPr>
          <w:p w:rsidR="00A14E54" w:rsidRPr="0042596A" w:rsidRDefault="00A14E54">
            <w:pPr>
              <w:rPr>
                <w:sz w:val="24"/>
                <w:szCs w:val="24"/>
              </w:rPr>
            </w:pPr>
            <w:r w:rsidRPr="0042596A">
              <w:rPr>
                <w:sz w:val="24"/>
                <w:szCs w:val="24"/>
              </w:rPr>
              <w:t>Only Boeing</w:t>
            </w:r>
            <w:r w:rsidR="0042596A" w:rsidRPr="0042596A">
              <w:rPr>
                <w:sz w:val="24"/>
                <w:szCs w:val="24"/>
              </w:rPr>
              <w:t xml:space="preserve"> p</w:t>
            </w:r>
            <w:r w:rsidRPr="0042596A">
              <w:rPr>
                <w:sz w:val="24"/>
                <w:szCs w:val="24"/>
              </w:rPr>
              <w:t xml:space="preserve">roduces </w:t>
            </w:r>
            <w:r w:rsidRPr="0042596A">
              <w:rPr>
                <w:sz w:val="24"/>
                <w:szCs w:val="24"/>
              </w:rPr>
              <w:lastRenderedPageBreak/>
              <w:t>superjumbo</w:t>
            </w:r>
          </w:p>
        </w:tc>
        <w:tc>
          <w:tcPr>
            <w:tcW w:w="1843" w:type="dxa"/>
          </w:tcPr>
          <w:p w:rsidR="00A14E54" w:rsidRDefault="00A14E54" w:rsidP="00A14E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0%</w:t>
            </w:r>
          </w:p>
        </w:tc>
        <w:tc>
          <w:tcPr>
            <w:tcW w:w="1984" w:type="dxa"/>
          </w:tcPr>
          <w:p w:rsidR="00A14E54" w:rsidRDefault="00A14E54" w:rsidP="00A14E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3656" w:type="dxa"/>
          </w:tcPr>
          <w:p w:rsidR="00A14E54" w:rsidRDefault="00453153" w:rsidP="00A14E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Probability that Boeing’s NPV for superjumbo is negative is 15.6%</w:t>
            </w:r>
          </w:p>
        </w:tc>
      </w:tr>
      <w:tr w:rsidR="00A14E54" w:rsidTr="0042596A">
        <w:tc>
          <w:tcPr>
            <w:tcW w:w="2093" w:type="dxa"/>
          </w:tcPr>
          <w:p w:rsidR="00A14E54" w:rsidRPr="0042596A" w:rsidRDefault="00A14E54">
            <w:pPr>
              <w:rPr>
                <w:sz w:val="24"/>
                <w:szCs w:val="24"/>
              </w:rPr>
            </w:pPr>
            <w:r w:rsidRPr="0042596A">
              <w:rPr>
                <w:sz w:val="24"/>
                <w:szCs w:val="24"/>
              </w:rPr>
              <w:lastRenderedPageBreak/>
              <w:t>Both Airbus and Boeing Produce superjumbo</w:t>
            </w:r>
          </w:p>
        </w:tc>
        <w:tc>
          <w:tcPr>
            <w:tcW w:w="1843" w:type="dxa"/>
          </w:tcPr>
          <w:p w:rsidR="00A14E54" w:rsidRDefault="00840178" w:rsidP="00A14E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A14E54">
              <w:rPr>
                <w:sz w:val="24"/>
                <w:szCs w:val="24"/>
              </w:rPr>
              <w:t>%*</w:t>
            </w:r>
          </w:p>
        </w:tc>
        <w:tc>
          <w:tcPr>
            <w:tcW w:w="1984" w:type="dxa"/>
          </w:tcPr>
          <w:p w:rsidR="00A14E54" w:rsidRDefault="00840178" w:rsidP="00A14E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A14E54">
              <w:rPr>
                <w:sz w:val="24"/>
                <w:szCs w:val="24"/>
              </w:rPr>
              <w:t>%*</w:t>
            </w:r>
          </w:p>
        </w:tc>
        <w:tc>
          <w:tcPr>
            <w:tcW w:w="3656" w:type="dxa"/>
          </w:tcPr>
          <w:p w:rsidR="00A14E54" w:rsidRDefault="008A2792" w:rsidP="004531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Mean values of the </w:t>
            </w:r>
            <w:r w:rsidR="00526635">
              <w:rPr>
                <w:sz w:val="24"/>
                <w:szCs w:val="24"/>
              </w:rPr>
              <w:t xml:space="preserve">overall VLA </w:t>
            </w:r>
            <w:r>
              <w:rPr>
                <w:sz w:val="24"/>
                <w:szCs w:val="24"/>
              </w:rPr>
              <w:t>market share</w:t>
            </w:r>
            <w:r w:rsidR="00453153">
              <w:rPr>
                <w:sz w:val="24"/>
                <w:szCs w:val="24"/>
              </w:rPr>
              <w:t xml:space="preserve">. </w:t>
            </w:r>
          </w:p>
        </w:tc>
      </w:tr>
    </w:tbl>
    <w:p w:rsidR="00ED0747" w:rsidRDefault="00ED074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B70C5">
        <w:rPr>
          <w:sz w:val="24"/>
          <w:szCs w:val="24"/>
        </w:rPr>
        <w:t xml:space="preserve">* </w:t>
      </w:r>
      <w:r w:rsidR="00526635" w:rsidRPr="00526635">
        <w:rPr>
          <w:i/>
          <w:sz w:val="24"/>
          <w:szCs w:val="24"/>
        </w:rPr>
        <w:t xml:space="preserve">Note: </w:t>
      </w:r>
      <w:r w:rsidR="002B70C5" w:rsidRPr="00526635">
        <w:rPr>
          <w:i/>
          <w:sz w:val="24"/>
          <w:szCs w:val="24"/>
        </w:rPr>
        <w:t>VLA market shares and not superjumbo shares</w:t>
      </w:r>
    </w:p>
    <w:p w:rsidR="00453153" w:rsidRDefault="00453153">
      <w:pPr>
        <w:rPr>
          <w:sz w:val="24"/>
          <w:szCs w:val="24"/>
        </w:rPr>
      </w:pPr>
      <w:r>
        <w:rPr>
          <w:sz w:val="24"/>
          <w:szCs w:val="24"/>
        </w:rPr>
        <w:t>Taking into account labor constraints and given the likelihood that the superjumbo project can turn negative</w:t>
      </w:r>
      <w:r w:rsidR="00F37E86">
        <w:rPr>
          <w:sz w:val="24"/>
          <w:szCs w:val="24"/>
        </w:rPr>
        <w:t xml:space="preserve"> </w:t>
      </w:r>
      <w:r w:rsidR="00F37E86">
        <w:t>(NPV)</w:t>
      </w:r>
      <w:r>
        <w:rPr>
          <w:sz w:val="24"/>
          <w:szCs w:val="24"/>
        </w:rPr>
        <w:t xml:space="preserve"> is 15.6% for Boeing, it may decide not to launch. However, since the overriding factor is the </w:t>
      </w:r>
      <w:r w:rsidR="00F37E86" w:rsidRPr="00F37E86">
        <w:rPr>
          <w:b/>
          <w:sz w:val="24"/>
          <w:szCs w:val="24"/>
        </w:rPr>
        <w:t>attractiveness</w:t>
      </w:r>
      <w:r w:rsidR="00F37E86">
        <w:rPr>
          <w:sz w:val="24"/>
          <w:szCs w:val="24"/>
        </w:rPr>
        <w:t xml:space="preserve"> of </w:t>
      </w:r>
      <w:r>
        <w:rPr>
          <w:sz w:val="24"/>
          <w:szCs w:val="24"/>
        </w:rPr>
        <w:t>market share it is in Boeing’s interest to launch the project</w:t>
      </w:r>
      <w:r w:rsidR="00F37E86">
        <w:rPr>
          <w:sz w:val="24"/>
          <w:szCs w:val="24"/>
        </w:rPr>
        <w:t xml:space="preserve"> as depicted in the table above</w:t>
      </w:r>
      <w:r>
        <w:rPr>
          <w:sz w:val="24"/>
          <w:szCs w:val="24"/>
        </w:rPr>
        <w:t xml:space="preserve">. For Airbus, it is </w:t>
      </w:r>
      <w:r w:rsidR="00F37E86">
        <w:rPr>
          <w:sz w:val="24"/>
          <w:szCs w:val="24"/>
        </w:rPr>
        <w:t xml:space="preserve">straight forward </w:t>
      </w:r>
      <w:r w:rsidR="005A0B6E">
        <w:rPr>
          <w:sz w:val="24"/>
          <w:szCs w:val="24"/>
        </w:rPr>
        <w:t xml:space="preserve">to launch the project </w:t>
      </w:r>
      <w:r w:rsidR="00F37E86">
        <w:rPr>
          <w:sz w:val="24"/>
          <w:szCs w:val="24"/>
        </w:rPr>
        <w:t xml:space="preserve">as the project NPV will be negative with a probability of only </w:t>
      </w:r>
      <w:r w:rsidR="00F37E86" w:rsidRPr="00F37E86">
        <w:rPr>
          <w:sz w:val="24"/>
          <w:szCs w:val="24"/>
        </w:rPr>
        <w:t>0</w:t>
      </w:r>
      <w:r w:rsidR="00F37E86">
        <w:rPr>
          <w:sz w:val="24"/>
          <w:szCs w:val="24"/>
        </w:rPr>
        <w:t>.3%.</w:t>
      </w:r>
    </w:p>
    <w:p w:rsidR="002B70C5" w:rsidRDefault="00453153">
      <w:pPr>
        <w:rPr>
          <w:sz w:val="24"/>
          <w:szCs w:val="24"/>
        </w:rPr>
      </w:pPr>
      <w:r>
        <w:rPr>
          <w:sz w:val="24"/>
          <w:szCs w:val="24"/>
        </w:rPr>
        <w:t>Given the market share scenario, r</w:t>
      </w:r>
      <w:r w:rsidR="002B70C5">
        <w:rPr>
          <w:sz w:val="24"/>
          <w:szCs w:val="24"/>
        </w:rPr>
        <w:t xml:space="preserve">ecommendation for both </w:t>
      </w:r>
      <w:r>
        <w:rPr>
          <w:sz w:val="24"/>
          <w:szCs w:val="24"/>
        </w:rPr>
        <w:t xml:space="preserve">companies is to produce </w:t>
      </w:r>
      <w:r w:rsidR="00F37E86">
        <w:rPr>
          <w:sz w:val="24"/>
          <w:szCs w:val="24"/>
        </w:rPr>
        <w:t>super jumbos</w:t>
      </w:r>
      <w:r>
        <w:rPr>
          <w:sz w:val="24"/>
          <w:szCs w:val="24"/>
        </w:rPr>
        <w:t>.</w:t>
      </w:r>
    </w:p>
    <w:p w:rsidR="009A2E23" w:rsidRPr="0044658D" w:rsidRDefault="002D2C22">
      <w:pPr>
        <w:rPr>
          <w:b/>
          <w:sz w:val="24"/>
          <w:szCs w:val="24"/>
          <w:u w:val="single"/>
        </w:rPr>
      </w:pPr>
      <w:r w:rsidRPr="0044658D">
        <w:rPr>
          <w:b/>
          <w:sz w:val="24"/>
          <w:szCs w:val="24"/>
          <w:u w:val="single"/>
        </w:rPr>
        <w:t xml:space="preserve">Simulation </w:t>
      </w:r>
      <w:r w:rsidR="00673DD7" w:rsidRPr="0044658D">
        <w:rPr>
          <w:b/>
          <w:sz w:val="24"/>
          <w:szCs w:val="24"/>
          <w:u w:val="single"/>
        </w:rPr>
        <w:t>Output</w:t>
      </w:r>
      <w:r w:rsidRPr="0044658D">
        <w:rPr>
          <w:b/>
          <w:sz w:val="24"/>
          <w:szCs w:val="24"/>
          <w:u w:val="single"/>
        </w:rPr>
        <w:t>:</w:t>
      </w:r>
    </w:p>
    <w:p w:rsidR="002D2C22" w:rsidRPr="002D2C22" w:rsidRDefault="0042596A" w:rsidP="002D2C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Only Airbus p</w:t>
      </w:r>
      <w:r w:rsidR="002D2C22" w:rsidRPr="002D2C22">
        <w:rPr>
          <w:b/>
          <w:sz w:val="24"/>
          <w:szCs w:val="24"/>
        </w:rPr>
        <w:t>roduce</w:t>
      </w:r>
      <w:r>
        <w:rPr>
          <w:b/>
          <w:sz w:val="24"/>
          <w:szCs w:val="24"/>
        </w:rPr>
        <w:t>s</w:t>
      </w:r>
      <w:r w:rsidR="002D2C22" w:rsidRPr="002D2C22">
        <w:rPr>
          <w:b/>
          <w:sz w:val="24"/>
          <w:szCs w:val="24"/>
        </w:rPr>
        <w:t xml:space="preserve"> Super Jumbo</w:t>
      </w:r>
    </w:p>
    <w:p w:rsidR="002D2C22" w:rsidRDefault="002D2C22" w:rsidP="002D2C22">
      <w:pPr>
        <w:rPr>
          <w:rFonts w:ascii="Calibri" w:eastAsia="Times New Roman" w:hAnsi="Calibri" w:cs="Calibri"/>
          <w:color w:val="000000"/>
        </w:rPr>
      </w:pPr>
      <w:r>
        <w:rPr>
          <w:sz w:val="24"/>
          <w:szCs w:val="24"/>
        </w:rPr>
        <w:t>If only airbus produces super jumbo</w:t>
      </w:r>
      <w:r w:rsidR="0033319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initial order at the end of five years is </w:t>
      </w:r>
      <w:r w:rsidRPr="002D2C22">
        <w:rPr>
          <w:rFonts w:ascii="Calibri" w:eastAsia="Times New Roman" w:hAnsi="Calibri" w:cs="Calibri"/>
          <w:b/>
          <w:color w:val="000000"/>
        </w:rPr>
        <w:t>139.2833333</w:t>
      </w:r>
      <w:r w:rsidR="00333193">
        <w:rPr>
          <w:rFonts w:ascii="Calibri" w:eastAsia="Times New Roman" w:hAnsi="Calibri" w:cs="Calibri"/>
          <w:b/>
          <w:color w:val="000000"/>
        </w:rPr>
        <w:t xml:space="preserve"> </w:t>
      </w:r>
      <w:r w:rsidR="00333193" w:rsidRPr="00333193">
        <w:rPr>
          <w:rFonts w:ascii="Calibri" w:eastAsia="Times New Roman" w:hAnsi="Calibri" w:cs="Calibri"/>
          <w:color w:val="000000"/>
        </w:rPr>
        <w:t>and net present value is</w:t>
      </w:r>
      <w:r w:rsidR="00333193">
        <w:rPr>
          <w:rFonts w:ascii="Calibri" w:eastAsia="Times New Roman" w:hAnsi="Calibri" w:cs="Calibri"/>
          <w:b/>
          <w:color w:val="000000"/>
        </w:rPr>
        <w:t xml:space="preserve"> </w:t>
      </w:r>
      <w:r w:rsidR="00333193" w:rsidRPr="00333193">
        <w:rPr>
          <w:rFonts w:ascii="Calibri" w:eastAsia="Times New Roman" w:hAnsi="Calibri" w:cs="Calibri"/>
          <w:b/>
          <w:color w:val="000000"/>
        </w:rPr>
        <w:t>26561.875</w:t>
      </w:r>
      <w:r w:rsidR="00333193">
        <w:rPr>
          <w:rFonts w:ascii="Calibri" w:eastAsia="Times New Roman" w:hAnsi="Calibri" w:cs="Calibri"/>
          <w:b/>
          <w:color w:val="000000"/>
        </w:rPr>
        <w:t xml:space="preserve"> </w:t>
      </w:r>
      <w:r w:rsidR="00333193">
        <w:rPr>
          <w:rFonts w:ascii="Calibri" w:eastAsia="Times New Roman" w:hAnsi="Calibri" w:cs="Calibri"/>
          <w:color w:val="000000"/>
        </w:rPr>
        <w:t xml:space="preserve">which is produced after 5000 simulations with </w:t>
      </w:r>
      <w:r w:rsidR="00F37E86">
        <w:rPr>
          <w:rFonts w:ascii="Calibri" w:eastAsia="Times New Roman" w:hAnsi="Calibri" w:cs="Calibri"/>
          <w:color w:val="000000"/>
        </w:rPr>
        <w:t>the total VLA market share of 5</w:t>
      </w:r>
      <w:r w:rsidR="00333193">
        <w:rPr>
          <w:rFonts w:ascii="Calibri" w:eastAsia="Times New Roman" w:hAnsi="Calibri" w:cs="Calibri"/>
          <w:color w:val="000000"/>
        </w:rPr>
        <w:t>0</w:t>
      </w:r>
      <w:proofErr w:type="gramStart"/>
      <w:r w:rsidR="00333193">
        <w:rPr>
          <w:rFonts w:ascii="Calibri" w:eastAsia="Times New Roman" w:hAnsi="Calibri" w:cs="Calibri"/>
          <w:color w:val="000000"/>
        </w:rPr>
        <w:t>%  with</w:t>
      </w:r>
      <w:proofErr w:type="gramEnd"/>
      <w:r w:rsidR="00333193">
        <w:rPr>
          <w:rFonts w:ascii="Calibri" w:eastAsia="Times New Roman" w:hAnsi="Calibri" w:cs="Calibri"/>
          <w:color w:val="000000"/>
        </w:rPr>
        <w:t xml:space="preserve"> </w:t>
      </w:r>
      <w:r w:rsidR="00F37E86">
        <w:rPr>
          <w:rFonts w:ascii="Calibri" w:eastAsia="Times New Roman" w:hAnsi="Calibri" w:cs="Calibri"/>
          <w:color w:val="000000"/>
        </w:rPr>
        <w:t xml:space="preserve">a probability of </w:t>
      </w:r>
      <w:r w:rsidR="0042596A">
        <w:rPr>
          <w:rFonts w:ascii="Calibri" w:eastAsia="Times New Roman" w:hAnsi="Calibri" w:cs="Calibri"/>
          <w:color w:val="000000"/>
        </w:rPr>
        <w:t>negative NPV</w:t>
      </w:r>
      <w:r w:rsidR="00F37E86">
        <w:rPr>
          <w:rFonts w:ascii="Calibri" w:eastAsia="Times New Roman" w:hAnsi="Calibri" w:cs="Calibri"/>
          <w:color w:val="000000"/>
        </w:rPr>
        <w:t xml:space="preserve"> at </w:t>
      </w:r>
      <w:r w:rsidR="00333193">
        <w:rPr>
          <w:rFonts w:ascii="Calibri" w:eastAsia="Times New Roman" w:hAnsi="Calibri" w:cs="Calibri"/>
          <w:color w:val="000000"/>
        </w:rPr>
        <w:t xml:space="preserve">0.3% </w:t>
      </w:r>
    </w:p>
    <w:p w:rsidR="00333193" w:rsidRDefault="00333193" w:rsidP="002D2C2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943600" cy="33756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86" w:rsidRPr="00503724" w:rsidRDefault="00F37E86" w:rsidP="00503724">
      <w:pPr>
        <w:pStyle w:val="ListParagraph"/>
        <w:rPr>
          <w:rFonts w:ascii="Calibri" w:eastAsia="Times New Roman" w:hAnsi="Calibri" w:cs="Calibri"/>
          <w:b/>
          <w:color w:val="000000"/>
        </w:rPr>
      </w:pPr>
    </w:p>
    <w:p w:rsidR="00333193" w:rsidRPr="00503724" w:rsidRDefault="0042596A" w:rsidP="0033319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Only </w:t>
      </w:r>
      <w:r w:rsidR="00333193" w:rsidRPr="00503724">
        <w:rPr>
          <w:b/>
          <w:sz w:val="24"/>
          <w:szCs w:val="24"/>
        </w:rPr>
        <w:t xml:space="preserve">Boeing </w:t>
      </w:r>
      <w:r>
        <w:rPr>
          <w:b/>
          <w:sz w:val="24"/>
          <w:szCs w:val="24"/>
        </w:rPr>
        <w:t>p</w:t>
      </w:r>
      <w:r w:rsidR="00333193" w:rsidRPr="00503724">
        <w:rPr>
          <w:b/>
          <w:sz w:val="24"/>
          <w:szCs w:val="24"/>
        </w:rPr>
        <w:t>roduces Super Jumbo</w:t>
      </w:r>
    </w:p>
    <w:p w:rsidR="00333193" w:rsidRDefault="00333193" w:rsidP="00333193">
      <w:pPr>
        <w:rPr>
          <w:rFonts w:ascii="Calibri" w:eastAsia="Times New Roman" w:hAnsi="Calibri" w:cs="Calibri"/>
          <w:b/>
          <w:color w:val="000000"/>
        </w:rPr>
      </w:pPr>
      <w:r>
        <w:rPr>
          <w:sz w:val="24"/>
          <w:szCs w:val="24"/>
        </w:rPr>
        <w:t xml:space="preserve">If only Boeing produces super jumbo, initial order at the end of five year is </w:t>
      </w:r>
      <w:r w:rsidRPr="00333193">
        <w:rPr>
          <w:rFonts w:ascii="Calibri" w:eastAsia="Times New Roman" w:hAnsi="Calibri" w:cs="Calibri"/>
          <w:b/>
          <w:color w:val="000000"/>
        </w:rPr>
        <w:t>77.83333333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 w:rsidRPr="00333193">
        <w:rPr>
          <w:rFonts w:ascii="Calibri" w:eastAsia="Times New Roman" w:hAnsi="Calibri" w:cs="Calibri"/>
          <w:color w:val="000000"/>
        </w:rPr>
        <w:t xml:space="preserve">and </w:t>
      </w:r>
      <w:r>
        <w:rPr>
          <w:rFonts w:ascii="Calibri" w:eastAsia="Times New Roman" w:hAnsi="Calibri" w:cs="Calibri"/>
          <w:color w:val="000000"/>
        </w:rPr>
        <w:t xml:space="preserve">net present value is </w:t>
      </w:r>
      <w:r w:rsidRPr="00333193">
        <w:rPr>
          <w:rFonts w:ascii="Calibri" w:eastAsia="Times New Roman" w:hAnsi="Calibri" w:cs="Calibri"/>
          <w:b/>
          <w:color w:val="000000"/>
        </w:rPr>
        <w:t>47256.25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 w:rsidR="00503724" w:rsidRPr="00503724">
        <w:rPr>
          <w:rFonts w:ascii="Calibri" w:eastAsia="Times New Roman" w:hAnsi="Calibri" w:cs="Calibri"/>
          <w:color w:val="000000"/>
        </w:rPr>
        <w:t xml:space="preserve">which </w:t>
      </w:r>
      <w:proofErr w:type="gramStart"/>
      <w:r w:rsidR="00503724">
        <w:rPr>
          <w:rFonts w:ascii="Calibri" w:eastAsia="Times New Roman" w:hAnsi="Calibri" w:cs="Calibri"/>
          <w:color w:val="000000"/>
        </w:rPr>
        <w:t>is</w:t>
      </w:r>
      <w:proofErr w:type="gramEnd"/>
      <w:r w:rsidR="00503724">
        <w:rPr>
          <w:rFonts w:ascii="Calibri" w:eastAsia="Times New Roman" w:hAnsi="Calibri" w:cs="Calibri"/>
          <w:color w:val="000000"/>
        </w:rPr>
        <w:t xml:space="preserve"> produced after 5000 simulations with the total market share is 100%</w:t>
      </w:r>
      <w:r w:rsidR="00F37E86">
        <w:rPr>
          <w:rFonts w:ascii="Calibri" w:eastAsia="Times New Roman" w:hAnsi="Calibri" w:cs="Calibri"/>
          <w:color w:val="000000"/>
        </w:rPr>
        <w:t>. The probability that the NPV is negative is 15.6% as depicted in the picture below.</w:t>
      </w:r>
      <w:r w:rsidR="00503724">
        <w:rPr>
          <w:rFonts w:ascii="Calibri" w:eastAsia="Times New Roman" w:hAnsi="Calibri" w:cs="Calibri"/>
          <w:color w:val="000000"/>
        </w:rPr>
        <w:t xml:space="preserve"> </w:t>
      </w:r>
    </w:p>
    <w:p w:rsidR="00333193" w:rsidRDefault="00F37E86" w:rsidP="00333193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noProof/>
          <w:color w:val="000000"/>
        </w:rPr>
        <w:drawing>
          <wp:inline distT="0" distB="0" distL="0" distR="0">
            <wp:extent cx="5943600" cy="3375693"/>
            <wp:effectExtent l="19050" t="0" r="0" b="0"/>
            <wp:docPr id="2" name="Picture 1" descr="C:\Users\hp\Desktop\ISB\Simulation\Simulation-GroupAssignment-1\Boeing N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SB\Simulation\Simulation-GroupAssignment-1\Boeing NP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D85" w:rsidRDefault="00164D85" w:rsidP="00164D85">
      <w:pPr>
        <w:pStyle w:val="ListParagraph"/>
        <w:rPr>
          <w:rFonts w:ascii="Calibri" w:eastAsia="Times New Roman" w:hAnsi="Calibri" w:cs="Calibri"/>
          <w:b/>
          <w:color w:val="000000"/>
        </w:rPr>
      </w:pPr>
    </w:p>
    <w:p w:rsidR="00503724" w:rsidRDefault="00ED6B46" w:rsidP="0050372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Airbus and Boeing Produces Super Jumbo</w:t>
      </w:r>
    </w:p>
    <w:p w:rsidR="009D6D74" w:rsidRDefault="00ED6B46" w:rsidP="00ED6B46">
      <w:pPr>
        <w:rPr>
          <w:rFonts w:ascii="Calibri" w:eastAsia="Times New Roman" w:hAnsi="Calibri" w:cs="Calibri"/>
          <w:color w:val="000000"/>
        </w:rPr>
      </w:pPr>
      <w:r w:rsidRPr="00ED6B46">
        <w:rPr>
          <w:rFonts w:ascii="Calibri" w:eastAsia="Times New Roman" w:hAnsi="Calibri" w:cs="Calibri"/>
          <w:color w:val="000000"/>
        </w:rPr>
        <w:t>I</w:t>
      </w:r>
      <w:r>
        <w:rPr>
          <w:rFonts w:ascii="Calibri" w:eastAsia="Times New Roman" w:hAnsi="Calibri" w:cs="Calibri"/>
          <w:color w:val="000000"/>
        </w:rPr>
        <w:t xml:space="preserve">f Airbus and Boeing </w:t>
      </w:r>
      <w:r w:rsidR="009D6D74">
        <w:rPr>
          <w:rFonts w:ascii="Calibri" w:eastAsia="Times New Roman" w:hAnsi="Calibri" w:cs="Calibri"/>
          <w:color w:val="000000"/>
        </w:rPr>
        <w:t xml:space="preserve">both </w:t>
      </w:r>
      <w:r w:rsidR="0042596A">
        <w:rPr>
          <w:rFonts w:ascii="Calibri" w:eastAsia="Times New Roman" w:hAnsi="Calibri" w:cs="Calibri"/>
          <w:color w:val="000000"/>
        </w:rPr>
        <w:t>produce</w:t>
      </w:r>
      <w:r>
        <w:rPr>
          <w:rFonts w:ascii="Calibri" w:eastAsia="Times New Roman" w:hAnsi="Calibri" w:cs="Calibri"/>
          <w:color w:val="000000"/>
        </w:rPr>
        <w:t xml:space="preserve"> super jumbo</w:t>
      </w:r>
      <w:r w:rsidR="009D6D74">
        <w:rPr>
          <w:rFonts w:ascii="Calibri" w:eastAsia="Times New Roman" w:hAnsi="Calibri" w:cs="Calibri"/>
          <w:color w:val="000000"/>
        </w:rPr>
        <w:t xml:space="preserve">, then </w:t>
      </w:r>
      <w:r w:rsidR="00345BEF">
        <w:rPr>
          <w:rFonts w:ascii="Calibri" w:eastAsia="Times New Roman" w:hAnsi="Calibri" w:cs="Calibri"/>
          <w:color w:val="000000"/>
        </w:rPr>
        <w:t xml:space="preserve">mean </w:t>
      </w:r>
      <w:r w:rsidR="00673DD7">
        <w:rPr>
          <w:rFonts w:ascii="Calibri" w:eastAsia="Times New Roman" w:hAnsi="Calibri" w:cs="Calibri"/>
          <w:color w:val="000000"/>
        </w:rPr>
        <w:t xml:space="preserve">VLA </w:t>
      </w:r>
      <w:r w:rsidR="009D6D74">
        <w:rPr>
          <w:rFonts w:ascii="Calibri" w:eastAsia="Times New Roman" w:hAnsi="Calibri" w:cs="Calibri"/>
          <w:color w:val="000000"/>
        </w:rPr>
        <w:t xml:space="preserve">market share Airbus </w:t>
      </w:r>
      <w:r w:rsidR="00345BEF">
        <w:rPr>
          <w:rFonts w:ascii="Calibri" w:eastAsia="Times New Roman" w:hAnsi="Calibri" w:cs="Calibri"/>
          <w:color w:val="000000"/>
        </w:rPr>
        <w:t xml:space="preserve">and Boeing are approximately </w:t>
      </w:r>
      <w:r w:rsidR="00840178">
        <w:rPr>
          <w:rFonts w:ascii="Calibri" w:eastAsia="Times New Roman" w:hAnsi="Calibri" w:cs="Calibri"/>
          <w:color w:val="000000"/>
        </w:rPr>
        <w:t>34% and 66</w:t>
      </w:r>
      <w:r w:rsidR="00345BEF">
        <w:rPr>
          <w:rFonts w:ascii="Calibri" w:eastAsia="Times New Roman" w:hAnsi="Calibri" w:cs="Calibri"/>
          <w:color w:val="000000"/>
        </w:rPr>
        <w:t xml:space="preserve"> % respectively.</w:t>
      </w:r>
    </w:p>
    <w:p w:rsidR="00840178" w:rsidRDefault="00840178" w:rsidP="00ED6B4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943600" cy="3403673"/>
            <wp:effectExtent l="19050" t="0" r="0" b="0"/>
            <wp:docPr id="5" name="Picture 2" descr="C:\Users\hp\Desktop\ISB\Simulation\Simulation-GroupAssignment-1\Airbus V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SB\Simulation\Simulation-GroupAssignment-1\Airbus VL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D74" w:rsidRDefault="009D6D74" w:rsidP="00ED6B46">
      <w:pPr>
        <w:rPr>
          <w:rFonts w:ascii="Calibri" w:eastAsia="Times New Roman" w:hAnsi="Calibri" w:cs="Calibri"/>
          <w:color w:val="000000"/>
        </w:rPr>
      </w:pPr>
    </w:p>
    <w:p w:rsidR="009D6D74" w:rsidRDefault="00673DD7" w:rsidP="00ED6B4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943600" cy="3410961"/>
            <wp:effectExtent l="19050" t="0" r="0" b="0"/>
            <wp:docPr id="1" name="Picture 1" descr="C:\Users\hp\Desktop\ISB\Simulation\Simulation-GroupAssignment-1\VLA-Boe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SB\Simulation\Simulation-GroupAssignment-1\VLA-Boe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BAA" w:rsidRDefault="00147BAA" w:rsidP="00ED6B46">
      <w:pPr>
        <w:rPr>
          <w:b/>
          <w:sz w:val="24"/>
          <w:szCs w:val="24"/>
          <w:u w:val="single"/>
        </w:rPr>
      </w:pPr>
      <w:r w:rsidRPr="00147BAA">
        <w:rPr>
          <w:b/>
          <w:sz w:val="24"/>
          <w:szCs w:val="24"/>
          <w:u w:val="single"/>
        </w:rPr>
        <w:t>Assumptions:</w:t>
      </w:r>
    </w:p>
    <w:tbl>
      <w:tblPr>
        <w:tblW w:w="77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40"/>
        <w:gridCol w:w="2260"/>
      </w:tblGrid>
      <w:tr w:rsidR="00147BAA" w:rsidRPr="00147BAA" w:rsidTr="00147BAA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147BAA" w:rsidRPr="00147BAA" w:rsidRDefault="00147BAA" w:rsidP="0014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BAA">
              <w:rPr>
                <w:rFonts w:ascii="Calibri" w:eastAsia="Times New Roman" w:hAnsi="Calibri" w:cs="Calibri"/>
                <w:color w:val="000000"/>
              </w:rPr>
              <w:t xml:space="preserve">Airbus A3XX Development Cost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147BAA" w:rsidRPr="00147BAA" w:rsidRDefault="00147BAA" w:rsidP="0014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BAA">
              <w:rPr>
                <w:rFonts w:ascii="Calibri" w:eastAsia="Times New Roman" w:hAnsi="Calibri" w:cs="Calibri"/>
                <w:color w:val="000000"/>
              </w:rPr>
              <w:t>10000.00</w:t>
            </w:r>
          </w:p>
        </w:tc>
      </w:tr>
      <w:tr w:rsidR="00147BAA" w:rsidRPr="00147BAA" w:rsidTr="00147BAA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147BAA" w:rsidRPr="00147BAA" w:rsidRDefault="00345BEF" w:rsidP="0014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Boeing 747-X develop</w:t>
            </w:r>
            <w:r w:rsidR="00147BAA" w:rsidRPr="00147BAA">
              <w:rPr>
                <w:rFonts w:ascii="Calibri" w:eastAsia="Times New Roman" w:hAnsi="Calibri" w:cs="Calibri"/>
                <w:color w:val="000000"/>
              </w:rPr>
              <w:t>m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="00147BAA" w:rsidRPr="00147BAA">
              <w:rPr>
                <w:rFonts w:ascii="Calibri" w:eastAsia="Times New Roman" w:hAnsi="Calibri" w:cs="Calibri"/>
                <w:color w:val="000000"/>
              </w:rPr>
              <w:t>nt costs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147BAA" w:rsidRPr="00147BAA" w:rsidRDefault="00147BAA" w:rsidP="0014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BAA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</w:tr>
      <w:tr w:rsidR="00147BAA" w:rsidRPr="00147BAA" w:rsidTr="00147BAA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147BAA" w:rsidRPr="00147BAA" w:rsidRDefault="00147BAA" w:rsidP="0014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BAA">
              <w:rPr>
                <w:rFonts w:ascii="Calibri" w:eastAsia="Times New Roman" w:hAnsi="Calibri" w:cs="Calibri"/>
                <w:color w:val="000000"/>
              </w:rPr>
              <w:t>Airbus Present value of profit per VLA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147BAA" w:rsidRPr="00147BAA" w:rsidRDefault="00147BAA" w:rsidP="0014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B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147BAA" w:rsidRPr="00147BAA" w:rsidTr="00147BAA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147BAA" w:rsidRPr="00147BAA" w:rsidRDefault="00147BAA" w:rsidP="0014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BAA">
              <w:rPr>
                <w:rFonts w:ascii="Calibri" w:eastAsia="Times New Roman" w:hAnsi="Calibri" w:cs="Calibri"/>
                <w:color w:val="000000"/>
              </w:rPr>
              <w:t>Boeing present value of profit per VLA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147BAA" w:rsidRPr="00147BAA" w:rsidRDefault="00147BAA" w:rsidP="0014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B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147BAA" w:rsidRPr="00147BAA" w:rsidTr="00147BAA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147BAA" w:rsidRPr="00147BAA" w:rsidRDefault="00147BAA" w:rsidP="0014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BAA">
              <w:rPr>
                <w:rFonts w:ascii="Calibri" w:eastAsia="Times New Roman" w:hAnsi="Calibri" w:cs="Calibri"/>
                <w:color w:val="000000"/>
              </w:rPr>
              <w:t>Boeing savings from later 747-X development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147BAA" w:rsidRPr="00147BAA" w:rsidRDefault="00147BAA" w:rsidP="0014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BA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147BAA" w:rsidRPr="00147BAA" w:rsidTr="00147BAA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147BAA" w:rsidRPr="00147BAA" w:rsidRDefault="00147BAA" w:rsidP="0014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7BAA">
              <w:rPr>
                <w:rFonts w:ascii="Calibri" w:eastAsia="Times New Roman" w:hAnsi="Calibri" w:cs="Calibri"/>
                <w:color w:val="000000"/>
              </w:rPr>
              <w:t>Boeing 747-X share of superjumbo market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147BAA" w:rsidRPr="00147BAA" w:rsidRDefault="00147BAA" w:rsidP="00147B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7BAA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</w:tbl>
    <w:p w:rsidR="00147BAA" w:rsidRDefault="00147BAA" w:rsidP="00ED6B46">
      <w:pPr>
        <w:rPr>
          <w:b/>
          <w:sz w:val="24"/>
          <w:szCs w:val="24"/>
          <w:u w:val="single"/>
        </w:rPr>
      </w:pPr>
    </w:p>
    <w:p w:rsidR="00673DD7" w:rsidRDefault="00673DD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147BAA" w:rsidRPr="0044658D" w:rsidRDefault="00673DD7" w:rsidP="00673DD7">
      <w:pPr>
        <w:jc w:val="center"/>
        <w:rPr>
          <w:b/>
          <w:sz w:val="24"/>
          <w:szCs w:val="24"/>
          <w:u w:val="single"/>
        </w:rPr>
      </w:pPr>
      <w:r w:rsidRPr="0044658D">
        <w:rPr>
          <w:b/>
          <w:sz w:val="24"/>
          <w:szCs w:val="24"/>
          <w:u w:val="single"/>
        </w:rPr>
        <w:t>Appendix</w:t>
      </w:r>
    </w:p>
    <w:p w:rsidR="00345BEF" w:rsidRDefault="00345BEF" w:rsidP="00345BEF">
      <w:pPr>
        <w:rPr>
          <w:b/>
          <w:sz w:val="24"/>
          <w:szCs w:val="24"/>
        </w:rPr>
      </w:pPr>
      <w:r>
        <w:rPr>
          <w:b/>
          <w:sz w:val="24"/>
          <w:szCs w:val="24"/>
        </w:rPr>
        <w:t>Initial order distribution</w:t>
      </w:r>
    </w:p>
    <w:p w:rsidR="00345BEF" w:rsidRDefault="00345BEF" w:rsidP="00345BEF">
      <w:pPr>
        <w:rPr>
          <w:sz w:val="24"/>
          <w:szCs w:val="24"/>
        </w:rPr>
      </w:pPr>
      <w:r>
        <w:rPr>
          <w:sz w:val="24"/>
          <w:szCs w:val="24"/>
        </w:rPr>
        <w:t>The Boeing forecast of initial super jumbo orders distribution is in the range of 10 to 200 planes with most likely being 23.5 planes</w:t>
      </w:r>
    </w:p>
    <w:p w:rsidR="00345BEF" w:rsidRDefault="00345BEF" w:rsidP="00345B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7936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EF" w:rsidRDefault="00345BEF" w:rsidP="00345BEF">
      <w:pPr>
        <w:rPr>
          <w:sz w:val="24"/>
          <w:szCs w:val="24"/>
        </w:rPr>
      </w:pPr>
      <w:r>
        <w:rPr>
          <w:sz w:val="24"/>
          <w:szCs w:val="24"/>
        </w:rPr>
        <w:t>Airbus forecast of initial super jumbo orders distribution is in the range of 71.45 to 261.45 and most likely 84. 95</w:t>
      </w:r>
    </w:p>
    <w:p w:rsidR="00345BEF" w:rsidRDefault="00345BEF" w:rsidP="00345B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828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EF" w:rsidRPr="00345BEF" w:rsidRDefault="00345BEF" w:rsidP="00345BEF">
      <w:pPr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Pr="00345BEF">
        <w:rPr>
          <w:b/>
          <w:sz w:val="24"/>
          <w:szCs w:val="24"/>
        </w:rPr>
        <w:t xml:space="preserve">eliveries-to-order ratio </w:t>
      </w:r>
    </w:p>
    <w:p w:rsidR="00345BEF" w:rsidRDefault="00345BEF" w:rsidP="00345BEF">
      <w:pPr>
        <w:rPr>
          <w:sz w:val="24"/>
          <w:szCs w:val="24"/>
        </w:rPr>
      </w:pPr>
      <w:r>
        <w:rPr>
          <w:sz w:val="24"/>
          <w:szCs w:val="24"/>
        </w:rPr>
        <w:t>The minimum ratio of annual super jumbo deliveries to the initial order would be in the range of 10% to 50% most likely 30%. Distribution is as follows for Boeing follows as Triangular distribution</w:t>
      </w:r>
    </w:p>
    <w:p w:rsidR="00345BEF" w:rsidRDefault="00345BEF" w:rsidP="00345B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683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EF" w:rsidRDefault="00345BEF" w:rsidP="00345BEF">
      <w:pPr>
        <w:rPr>
          <w:sz w:val="24"/>
          <w:szCs w:val="24"/>
        </w:rPr>
      </w:pPr>
      <w:r>
        <w:rPr>
          <w:sz w:val="24"/>
          <w:szCs w:val="24"/>
        </w:rPr>
        <w:t>Same as the Airbus follows triangular too in the range of 10% to 50% and most likely 30%</w:t>
      </w:r>
    </w:p>
    <w:p w:rsidR="00345BEF" w:rsidRDefault="00345BEF" w:rsidP="00345B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853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212" w:rsidRPr="00414212" w:rsidRDefault="00414212" w:rsidP="00345BEF">
      <w:pPr>
        <w:rPr>
          <w:b/>
          <w:sz w:val="24"/>
          <w:szCs w:val="24"/>
          <w:u w:val="single"/>
        </w:rPr>
      </w:pPr>
    </w:p>
    <w:p w:rsidR="00673DD7" w:rsidRPr="00673DD7" w:rsidRDefault="00673DD7" w:rsidP="00673DD7">
      <w:pPr>
        <w:rPr>
          <w:b/>
          <w:sz w:val="24"/>
          <w:szCs w:val="24"/>
        </w:rPr>
      </w:pPr>
    </w:p>
    <w:p w:rsidR="00ED6B46" w:rsidRPr="00147BAA" w:rsidRDefault="00ED6B46" w:rsidP="00ED6B46">
      <w:pPr>
        <w:rPr>
          <w:rFonts w:ascii="Calibri" w:eastAsia="Times New Roman" w:hAnsi="Calibri" w:cs="Calibri"/>
          <w:b/>
          <w:color w:val="000000"/>
        </w:rPr>
      </w:pPr>
      <w:r w:rsidRPr="00147BAA">
        <w:rPr>
          <w:rFonts w:ascii="Calibri" w:eastAsia="Times New Roman" w:hAnsi="Calibri" w:cs="Calibri"/>
          <w:b/>
          <w:color w:val="000000"/>
        </w:rPr>
        <w:t xml:space="preserve"> </w:t>
      </w:r>
    </w:p>
    <w:p w:rsidR="00333193" w:rsidRPr="00333193" w:rsidRDefault="00333193" w:rsidP="00333193">
      <w:pPr>
        <w:rPr>
          <w:rFonts w:ascii="Calibri" w:eastAsia="Times New Roman" w:hAnsi="Calibri" w:cs="Calibri"/>
          <w:color w:val="000000"/>
        </w:rPr>
      </w:pPr>
    </w:p>
    <w:p w:rsidR="00333193" w:rsidRPr="00333193" w:rsidRDefault="00333193" w:rsidP="00333193">
      <w:pPr>
        <w:ind w:left="360"/>
        <w:rPr>
          <w:sz w:val="24"/>
          <w:szCs w:val="24"/>
        </w:rPr>
      </w:pPr>
    </w:p>
    <w:p w:rsidR="002D2C22" w:rsidRPr="002D2C22" w:rsidRDefault="002D2C22" w:rsidP="002D2C22">
      <w:pPr>
        <w:pStyle w:val="ListParagraph"/>
        <w:rPr>
          <w:sz w:val="24"/>
          <w:szCs w:val="24"/>
        </w:rPr>
      </w:pPr>
    </w:p>
    <w:p w:rsidR="009A2E23" w:rsidRPr="00B7663D" w:rsidRDefault="009A2E23">
      <w:pPr>
        <w:rPr>
          <w:sz w:val="24"/>
          <w:szCs w:val="24"/>
        </w:rPr>
      </w:pPr>
    </w:p>
    <w:p w:rsidR="00BA2D32" w:rsidRPr="00BA2D32" w:rsidRDefault="00BA2D32" w:rsidP="00BA2D32">
      <w:pPr>
        <w:rPr>
          <w:sz w:val="28"/>
          <w:szCs w:val="28"/>
        </w:rPr>
      </w:pPr>
    </w:p>
    <w:sectPr w:rsidR="00BA2D32" w:rsidRPr="00BA2D32" w:rsidSect="0055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140C2"/>
    <w:multiLevelType w:val="hybridMultilevel"/>
    <w:tmpl w:val="0BBA2804"/>
    <w:lvl w:ilvl="0" w:tplc="0A62C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56335"/>
    <w:multiLevelType w:val="hybridMultilevel"/>
    <w:tmpl w:val="80667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2316F"/>
    <w:multiLevelType w:val="hybridMultilevel"/>
    <w:tmpl w:val="AD285F60"/>
    <w:lvl w:ilvl="0" w:tplc="CAB86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BA2D32"/>
    <w:rsid w:val="000005DB"/>
    <w:rsid w:val="00001A68"/>
    <w:rsid w:val="00004EBF"/>
    <w:rsid w:val="00007C58"/>
    <w:rsid w:val="00014DE8"/>
    <w:rsid w:val="0002476E"/>
    <w:rsid w:val="0003298D"/>
    <w:rsid w:val="0004198E"/>
    <w:rsid w:val="00042EC0"/>
    <w:rsid w:val="00044E3D"/>
    <w:rsid w:val="00053803"/>
    <w:rsid w:val="000544F9"/>
    <w:rsid w:val="00056F00"/>
    <w:rsid w:val="000577E0"/>
    <w:rsid w:val="0006053B"/>
    <w:rsid w:val="0006213C"/>
    <w:rsid w:val="000667F8"/>
    <w:rsid w:val="000779DB"/>
    <w:rsid w:val="00084535"/>
    <w:rsid w:val="00085E7D"/>
    <w:rsid w:val="0009304A"/>
    <w:rsid w:val="00097A52"/>
    <w:rsid w:val="000A1E9A"/>
    <w:rsid w:val="000A6625"/>
    <w:rsid w:val="000A6E2A"/>
    <w:rsid w:val="000D16D2"/>
    <w:rsid w:val="000D49E0"/>
    <w:rsid w:val="000E431F"/>
    <w:rsid w:val="00101378"/>
    <w:rsid w:val="00103062"/>
    <w:rsid w:val="00115712"/>
    <w:rsid w:val="001170E4"/>
    <w:rsid w:val="00117861"/>
    <w:rsid w:val="0012014F"/>
    <w:rsid w:val="00125A9A"/>
    <w:rsid w:val="00125BB9"/>
    <w:rsid w:val="00137EFF"/>
    <w:rsid w:val="00143EBD"/>
    <w:rsid w:val="00145EB0"/>
    <w:rsid w:val="00147BAA"/>
    <w:rsid w:val="001544A5"/>
    <w:rsid w:val="00157EBA"/>
    <w:rsid w:val="00164D85"/>
    <w:rsid w:val="0016703E"/>
    <w:rsid w:val="00170542"/>
    <w:rsid w:val="00181707"/>
    <w:rsid w:val="00196889"/>
    <w:rsid w:val="00196997"/>
    <w:rsid w:val="00197FA5"/>
    <w:rsid w:val="001A2307"/>
    <w:rsid w:val="001A37FA"/>
    <w:rsid w:val="001A43F9"/>
    <w:rsid w:val="001A5680"/>
    <w:rsid w:val="001B263E"/>
    <w:rsid w:val="001C6708"/>
    <w:rsid w:val="001D16D5"/>
    <w:rsid w:val="001E01A3"/>
    <w:rsid w:val="001E2E9C"/>
    <w:rsid w:val="001F4276"/>
    <w:rsid w:val="001F57BF"/>
    <w:rsid w:val="002042BF"/>
    <w:rsid w:val="002107AB"/>
    <w:rsid w:val="002144A1"/>
    <w:rsid w:val="00222CC3"/>
    <w:rsid w:val="00223F80"/>
    <w:rsid w:val="00247962"/>
    <w:rsid w:val="00255B80"/>
    <w:rsid w:val="0026198B"/>
    <w:rsid w:val="0026307E"/>
    <w:rsid w:val="0027401F"/>
    <w:rsid w:val="002A62B2"/>
    <w:rsid w:val="002B70C5"/>
    <w:rsid w:val="002C5897"/>
    <w:rsid w:val="002D2159"/>
    <w:rsid w:val="002D2C22"/>
    <w:rsid w:val="002D2FF4"/>
    <w:rsid w:val="002D79E0"/>
    <w:rsid w:val="002F1D69"/>
    <w:rsid w:val="0030136B"/>
    <w:rsid w:val="00302F0C"/>
    <w:rsid w:val="0031206F"/>
    <w:rsid w:val="0031239A"/>
    <w:rsid w:val="00315CA2"/>
    <w:rsid w:val="00325774"/>
    <w:rsid w:val="003276F0"/>
    <w:rsid w:val="00332D56"/>
    <w:rsid w:val="00333193"/>
    <w:rsid w:val="00333696"/>
    <w:rsid w:val="003336FA"/>
    <w:rsid w:val="00335A8C"/>
    <w:rsid w:val="00336927"/>
    <w:rsid w:val="00345BEF"/>
    <w:rsid w:val="0037601E"/>
    <w:rsid w:val="0038019F"/>
    <w:rsid w:val="003B1747"/>
    <w:rsid w:val="003C59C2"/>
    <w:rsid w:val="003D13EA"/>
    <w:rsid w:val="003D4E62"/>
    <w:rsid w:val="003E00B0"/>
    <w:rsid w:val="003E5716"/>
    <w:rsid w:val="0040717B"/>
    <w:rsid w:val="00414212"/>
    <w:rsid w:val="004148F2"/>
    <w:rsid w:val="004202A5"/>
    <w:rsid w:val="0042596A"/>
    <w:rsid w:val="0043482B"/>
    <w:rsid w:val="00437EF6"/>
    <w:rsid w:val="0044658D"/>
    <w:rsid w:val="004514D9"/>
    <w:rsid w:val="00451985"/>
    <w:rsid w:val="00453038"/>
    <w:rsid w:val="00453153"/>
    <w:rsid w:val="00455F09"/>
    <w:rsid w:val="00460D28"/>
    <w:rsid w:val="004708D8"/>
    <w:rsid w:val="00476260"/>
    <w:rsid w:val="0049308B"/>
    <w:rsid w:val="00493BE6"/>
    <w:rsid w:val="004969EC"/>
    <w:rsid w:val="004A4A81"/>
    <w:rsid w:val="004D5756"/>
    <w:rsid w:val="004E3908"/>
    <w:rsid w:val="00503724"/>
    <w:rsid w:val="005105D6"/>
    <w:rsid w:val="005140A3"/>
    <w:rsid w:val="00520F51"/>
    <w:rsid w:val="00523F09"/>
    <w:rsid w:val="00526635"/>
    <w:rsid w:val="0053154E"/>
    <w:rsid w:val="0054626F"/>
    <w:rsid w:val="00551F59"/>
    <w:rsid w:val="00557A67"/>
    <w:rsid w:val="00566750"/>
    <w:rsid w:val="00583561"/>
    <w:rsid w:val="005A032A"/>
    <w:rsid w:val="005A0B6E"/>
    <w:rsid w:val="005A4F82"/>
    <w:rsid w:val="005B2196"/>
    <w:rsid w:val="005B458B"/>
    <w:rsid w:val="005B6CA3"/>
    <w:rsid w:val="005C427E"/>
    <w:rsid w:val="005E6103"/>
    <w:rsid w:val="006069B6"/>
    <w:rsid w:val="0062199C"/>
    <w:rsid w:val="00634F81"/>
    <w:rsid w:val="006408DD"/>
    <w:rsid w:val="006436D4"/>
    <w:rsid w:val="00645973"/>
    <w:rsid w:val="006516CC"/>
    <w:rsid w:val="0066111F"/>
    <w:rsid w:val="00673DD7"/>
    <w:rsid w:val="00676567"/>
    <w:rsid w:val="006A76AA"/>
    <w:rsid w:val="006B2908"/>
    <w:rsid w:val="006C202C"/>
    <w:rsid w:val="006D30A2"/>
    <w:rsid w:val="006D640F"/>
    <w:rsid w:val="006E0FEB"/>
    <w:rsid w:val="006F1E47"/>
    <w:rsid w:val="00701BC8"/>
    <w:rsid w:val="0071495C"/>
    <w:rsid w:val="00720590"/>
    <w:rsid w:val="007314F6"/>
    <w:rsid w:val="0073743A"/>
    <w:rsid w:val="00742BEA"/>
    <w:rsid w:val="00747095"/>
    <w:rsid w:val="00750636"/>
    <w:rsid w:val="0076269E"/>
    <w:rsid w:val="0077502C"/>
    <w:rsid w:val="00780279"/>
    <w:rsid w:val="00781A53"/>
    <w:rsid w:val="007961A3"/>
    <w:rsid w:val="007A1E55"/>
    <w:rsid w:val="007A66EA"/>
    <w:rsid w:val="007B6C7C"/>
    <w:rsid w:val="007D5107"/>
    <w:rsid w:val="007E420C"/>
    <w:rsid w:val="007F7F35"/>
    <w:rsid w:val="00802BB0"/>
    <w:rsid w:val="0080787D"/>
    <w:rsid w:val="00814493"/>
    <w:rsid w:val="00822512"/>
    <w:rsid w:val="008249C1"/>
    <w:rsid w:val="0082578E"/>
    <w:rsid w:val="00840178"/>
    <w:rsid w:val="00852817"/>
    <w:rsid w:val="00871CE4"/>
    <w:rsid w:val="00874212"/>
    <w:rsid w:val="008751FF"/>
    <w:rsid w:val="008764AC"/>
    <w:rsid w:val="00885AF4"/>
    <w:rsid w:val="008928B0"/>
    <w:rsid w:val="008956AA"/>
    <w:rsid w:val="008A2792"/>
    <w:rsid w:val="008D6AB1"/>
    <w:rsid w:val="008F7D76"/>
    <w:rsid w:val="009103C1"/>
    <w:rsid w:val="00925A5C"/>
    <w:rsid w:val="00947CBA"/>
    <w:rsid w:val="00951D92"/>
    <w:rsid w:val="0095292F"/>
    <w:rsid w:val="009664B6"/>
    <w:rsid w:val="0097202F"/>
    <w:rsid w:val="00972A57"/>
    <w:rsid w:val="00974C2A"/>
    <w:rsid w:val="00974F7C"/>
    <w:rsid w:val="009810AE"/>
    <w:rsid w:val="0099078D"/>
    <w:rsid w:val="00992BEF"/>
    <w:rsid w:val="009955A9"/>
    <w:rsid w:val="009A079F"/>
    <w:rsid w:val="009A2AFE"/>
    <w:rsid w:val="009A2E23"/>
    <w:rsid w:val="009A5251"/>
    <w:rsid w:val="009B53F0"/>
    <w:rsid w:val="009C5526"/>
    <w:rsid w:val="009C7BCE"/>
    <w:rsid w:val="009D6D74"/>
    <w:rsid w:val="009F192F"/>
    <w:rsid w:val="009F66B7"/>
    <w:rsid w:val="00A07F86"/>
    <w:rsid w:val="00A132B0"/>
    <w:rsid w:val="00A14E54"/>
    <w:rsid w:val="00A34E34"/>
    <w:rsid w:val="00A40EF0"/>
    <w:rsid w:val="00A46101"/>
    <w:rsid w:val="00A55021"/>
    <w:rsid w:val="00A637FA"/>
    <w:rsid w:val="00A638CB"/>
    <w:rsid w:val="00A8452A"/>
    <w:rsid w:val="00A91EFB"/>
    <w:rsid w:val="00A93680"/>
    <w:rsid w:val="00A97668"/>
    <w:rsid w:val="00AA2D7E"/>
    <w:rsid w:val="00AA4F58"/>
    <w:rsid w:val="00AB7EC4"/>
    <w:rsid w:val="00AC1603"/>
    <w:rsid w:val="00AC43AE"/>
    <w:rsid w:val="00AC70FB"/>
    <w:rsid w:val="00AD1FC9"/>
    <w:rsid w:val="00AD559B"/>
    <w:rsid w:val="00AE6ADC"/>
    <w:rsid w:val="00AF681E"/>
    <w:rsid w:val="00B07C84"/>
    <w:rsid w:val="00B10B2F"/>
    <w:rsid w:val="00B2153D"/>
    <w:rsid w:val="00B334FF"/>
    <w:rsid w:val="00B359B6"/>
    <w:rsid w:val="00B51083"/>
    <w:rsid w:val="00B62EED"/>
    <w:rsid w:val="00B65095"/>
    <w:rsid w:val="00B66EB6"/>
    <w:rsid w:val="00B7663D"/>
    <w:rsid w:val="00B76B74"/>
    <w:rsid w:val="00BA0ABF"/>
    <w:rsid w:val="00BA2D32"/>
    <w:rsid w:val="00BB5112"/>
    <w:rsid w:val="00BC4827"/>
    <w:rsid w:val="00BD2B2C"/>
    <w:rsid w:val="00BE1868"/>
    <w:rsid w:val="00BF0E51"/>
    <w:rsid w:val="00C0306B"/>
    <w:rsid w:val="00C14138"/>
    <w:rsid w:val="00C15553"/>
    <w:rsid w:val="00C2655F"/>
    <w:rsid w:val="00C32A0F"/>
    <w:rsid w:val="00C35A1E"/>
    <w:rsid w:val="00C44E53"/>
    <w:rsid w:val="00C62737"/>
    <w:rsid w:val="00C62F26"/>
    <w:rsid w:val="00C70B29"/>
    <w:rsid w:val="00C825E7"/>
    <w:rsid w:val="00C842F8"/>
    <w:rsid w:val="00C96B9E"/>
    <w:rsid w:val="00CA66EC"/>
    <w:rsid w:val="00CC06A9"/>
    <w:rsid w:val="00CD5FA9"/>
    <w:rsid w:val="00CF192F"/>
    <w:rsid w:val="00CF7748"/>
    <w:rsid w:val="00D0217F"/>
    <w:rsid w:val="00D02925"/>
    <w:rsid w:val="00D0533D"/>
    <w:rsid w:val="00D076B4"/>
    <w:rsid w:val="00D277CC"/>
    <w:rsid w:val="00D32B42"/>
    <w:rsid w:val="00D37994"/>
    <w:rsid w:val="00D4560C"/>
    <w:rsid w:val="00D47574"/>
    <w:rsid w:val="00D561D7"/>
    <w:rsid w:val="00D672AD"/>
    <w:rsid w:val="00D70353"/>
    <w:rsid w:val="00D833B9"/>
    <w:rsid w:val="00DA0C03"/>
    <w:rsid w:val="00DA58EF"/>
    <w:rsid w:val="00DA68B9"/>
    <w:rsid w:val="00DB657B"/>
    <w:rsid w:val="00DC0DAC"/>
    <w:rsid w:val="00DC1F9F"/>
    <w:rsid w:val="00DE22F6"/>
    <w:rsid w:val="00DF236F"/>
    <w:rsid w:val="00DF538F"/>
    <w:rsid w:val="00E024FC"/>
    <w:rsid w:val="00E0577D"/>
    <w:rsid w:val="00E129DD"/>
    <w:rsid w:val="00E1324D"/>
    <w:rsid w:val="00E16DF2"/>
    <w:rsid w:val="00E201EB"/>
    <w:rsid w:val="00E35620"/>
    <w:rsid w:val="00E41B5E"/>
    <w:rsid w:val="00E51159"/>
    <w:rsid w:val="00E52CAE"/>
    <w:rsid w:val="00E53025"/>
    <w:rsid w:val="00E63E3F"/>
    <w:rsid w:val="00E63E77"/>
    <w:rsid w:val="00E67056"/>
    <w:rsid w:val="00E85246"/>
    <w:rsid w:val="00E92607"/>
    <w:rsid w:val="00EA1130"/>
    <w:rsid w:val="00EA1855"/>
    <w:rsid w:val="00EA365F"/>
    <w:rsid w:val="00EB0718"/>
    <w:rsid w:val="00EC303D"/>
    <w:rsid w:val="00ED0396"/>
    <w:rsid w:val="00ED03C7"/>
    <w:rsid w:val="00ED0747"/>
    <w:rsid w:val="00ED3AFA"/>
    <w:rsid w:val="00ED5F2F"/>
    <w:rsid w:val="00ED6B46"/>
    <w:rsid w:val="00EE0181"/>
    <w:rsid w:val="00EE6D53"/>
    <w:rsid w:val="00EF3FE4"/>
    <w:rsid w:val="00EF6F7C"/>
    <w:rsid w:val="00F0081E"/>
    <w:rsid w:val="00F02920"/>
    <w:rsid w:val="00F15236"/>
    <w:rsid w:val="00F17920"/>
    <w:rsid w:val="00F17B28"/>
    <w:rsid w:val="00F2393A"/>
    <w:rsid w:val="00F23D95"/>
    <w:rsid w:val="00F3389E"/>
    <w:rsid w:val="00F363DD"/>
    <w:rsid w:val="00F3649F"/>
    <w:rsid w:val="00F37E86"/>
    <w:rsid w:val="00F41A8C"/>
    <w:rsid w:val="00F43377"/>
    <w:rsid w:val="00F57F6F"/>
    <w:rsid w:val="00F70D4C"/>
    <w:rsid w:val="00F7290E"/>
    <w:rsid w:val="00F845EA"/>
    <w:rsid w:val="00F86C67"/>
    <w:rsid w:val="00F9003B"/>
    <w:rsid w:val="00F96778"/>
    <w:rsid w:val="00FA7C52"/>
    <w:rsid w:val="00FC2737"/>
    <w:rsid w:val="00FD4232"/>
    <w:rsid w:val="00FF3B0D"/>
    <w:rsid w:val="00FF7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F59"/>
  </w:style>
  <w:style w:type="paragraph" w:styleId="Heading1">
    <w:name w:val="heading 1"/>
    <w:basedOn w:val="Normal"/>
    <w:next w:val="Normal"/>
    <w:link w:val="Heading1Char"/>
    <w:uiPriority w:val="9"/>
    <w:qFormat/>
    <w:rsid w:val="00425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47"/>
    <w:pPr>
      <w:ind w:left="720"/>
      <w:contextualSpacing/>
    </w:pPr>
  </w:style>
  <w:style w:type="table" w:styleId="TableGrid">
    <w:name w:val="Table Grid"/>
    <w:basedOn w:val="TableNormal"/>
    <w:uiPriority w:val="59"/>
    <w:rsid w:val="00ED0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5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465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18EB5F-68BB-4545-843F-DE92BD20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11</cp:revision>
  <dcterms:created xsi:type="dcterms:W3CDTF">2017-05-07T06:24:00Z</dcterms:created>
  <dcterms:modified xsi:type="dcterms:W3CDTF">2017-05-07T14:59:00Z</dcterms:modified>
</cp:coreProperties>
</file>