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Exercise 1: Spatial filters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Artifacts are a major issue in BCI. One way to reduce the impact of artifacts are spatial filters. In this exercise you will study the effects of different spatial filters on artifact-contaminated EEG.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artefacts.mat</w:t>
      </w:r>
      <w:r w:rsidDel="00000000" w:rsidR="00000000" w:rsidRPr="00000000">
        <w:rPr>
          <w:rtl w:val="0"/>
        </w:rPr>
        <w:t xml:space="preserve"> contains a segment of a 120 channel EEG recording that is contaminated with artifacts. Use the MATLAB function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load</w:t>
      </w:r>
      <w:r w:rsidDel="00000000" w:rsidR="00000000" w:rsidRPr="00000000">
        <w:rPr>
          <w:rtl w:val="0"/>
        </w:rPr>
        <w:t xml:space="preserve"> to load the 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</w:t>
      </w:r>
      <w:r w:rsidDel="00000000" w:rsidR="00000000" w:rsidRPr="00000000">
        <w:rPr>
          <w:rtl w:val="0"/>
        </w:rPr>
        <w:t xml:space="preserve"> file. The EEG is sampled at a rate of 500 Hz and band pass filtered between 1 Hz and 200 Hz. Electrode setup and channel information are shown on the next pages. Please compute the following spatial filters for positions Fz, Cz and Oz. Note: in the case of laplacian derivation, anterior means to the front, posterior means to the back, dexter means to the right and sinister to the left with respect to a chosen electrode position on which the spatial filter is applied.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1.1: Bipolar derivation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bip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anterior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posterior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1.2: Laplace derivation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lap</m:t>
            </m:r>
          </m:sub>
        </m:sSub>
        <m:r>
          <w:rPr>
            <w:rFonts w:ascii="Cambria Math" w:cs="Cambria Math" w:eastAsia="Cambria Math" w:hAnsi="Cambria Math"/>
          </w:rPr>
          <m:t xml:space="preserve">=X-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4</m:t>
            </m:r>
          </m:den>
        </m:f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anterior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sSub>
                  <m:sSubPr>
                    <m:ctrlPr>
                      <w:rPr>
                        <w:rFonts w:ascii="Cambria Math" w:cs="Cambria Math" w:eastAsia="Cambria Math" w:hAnsi="Cambria Math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dexter</m:t>
                    </m:r>
                  </m:sub>
                </m:sSub>
                <m:r>
                  <w:rPr>
                    <w:rFonts w:ascii="Cambria Math" w:cs="Cambria Math" w:eastAsia="Cambria Math" w:hAnsi="Cambria Math"/>
                  </w:rPr>
                  <m:t xml:space="preserve">+X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posterior</m:t>
                </m:r>
              </m:sub>
            </m:sSub>
            <m:r>
              <w:rPr>
                <w:rFonts w:ascii="Cambria Math" w:cs="Cambria Math" w:eastAsia="Cambria Math" w:hAnsi="Cambria Math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sinister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Exercise 1.3: Common average reference derivation (CAR)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CAR</m:t>
            </m:r>
          </m:sub>
        </m:sSub>
        <m:r>
          <w:rPr>
            <w:rFonts w:ascii="Cambria Math" w:cs="Cambria Math" w:eastAsia="Cambria Math" w:hAnsi="Cambria Math"/>
          </w:rPr>
          <m:t xml:space="preserve">=X-average(all channels)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effects of the different spatial filters on the EEG signal, especially on artifacts.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Exercise 2: Artifacts in EEG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Below are some examples of EEG independent components. Label them correctly and briefly explain your reasons. Note that some components might not be artefactual, but brain related.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9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b w:val="1"/>
          <w:bCs w:val="1"/>
          <w:sz w:val="8"/>
          <w:szCs w:val="8"/>
          <w:u w:val="single"/>
        </w:rPr>
        <w:drawing>
          <wp:inline distB="114300" distT="114300" distL="114300" distR="114300">
            <wp:extent cx="5760410" cy="37846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b w:val="1"/>
          <w:bCs w:val="1"/>
          <w:sz w:val="8"/>
          <w:szCs w:val="8"/>
          <w:u w:val="single"/>
          <w:rtl w:val="0"/>
        </w:rPr>
        <w:t xml:space="preserve">–</w:t>
      </w:r>
    </w:p>
    <w:p w:rsidR="00000000" w:rsidDel="00000000" w:rsidP="00000000" w:rsidRDefault="00000000" w:rsidRPr="00000000" w14:paraId="0000001D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8"/>
          <w:szCs w:val="8"/>
          <w:u w:val="single"/>
        </w:rPr>
        <w:drawing>
          <wp:inline distB="114300" distT="114300" distL="114300" distR="114300">
            <wp:extent cx="5760410" cy="38735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b w:val="1"/>
          <w:bCs w:val="1"/>
          <w:sz w:val="8"/>
          <w:szCs w:val="8"/>
          <w:u w:val="single"/>
        </w:rPr>
        <w:drawing>
          <wp:inline distB="114300" distT="114300" distL="114300" distR="114300">
            <wp:extent cx="5760410" cy="38989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b w:val="1"/>
          <w:bCs w:val="1"/>
          <w:sz w:val="8"/>
          <w:szCs w:val="8"/>
          <w:u w:val="single"/>
        </w:rPr>
        <w:drawing>
          <wp:inline distB="114300" distT="114300" distL="114300" distR="114300">
            <wp:extent cx="5760410" cy="38608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b w:val="1"/>
          <w:bCs w:val="1"/>
          <w:sz w:val="8"/>
          <w:szCs w:val="8"/>
          <w:u w:val="single"/>
        </w:rPr>
        <w:drawing>
          <wp:inline distB="114300" distT="114300" distL="114300" distR="114300">
            <wp:extent cx="5760410" cy="38100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Exercise 3: P300 Evoked Potentials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The file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BI5_segments_HTS.mat</w:t>
      </w:r>
      <w:r w:rsidDel="00000000" w:rsidR="00000000" w:rsidRPr="00000000">
        <w:rPr>
          <w:rtl w:val="0"/>
        </w:rPr>
        <w:t xml:space="preserve"> contains data from an auditory P300 BCI experiment. Study participants were asked to concentrate on a target tone, which was higher than the non-target tone. The multidimensional matrix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segments</w:t>
      </w:r>
      <w:r w:rsidDel="00000000" w:rsidR="00000000" w:rsidRPr="00000000">
        <w:rPr>
          <w:rtl w:val="0"/>
        </w:rPr>
        <w:t xml:space="preserve"> stores the following information: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dimension: Channels (Fz, Cz and Pz, you can look that up in “ch_selection”).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dimension: Time course (77 time points, Sample rate: 64 Hz).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dimension: Trials (2200).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classlabels</w:t>
      </w:r>
      <w:r w:rsidDel="00000000" w:rsidR="00000000" w:rsidRPr="00000000">
        <w:rPr>
          <w:rtl w:val="0"/>
        </w:rPr>
        <w:t xml:space="preserve"> vector to identify non-target trials (class 1) and target trials (class 2). Store them in separate matrices and calculate their means.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 the EPs by averaging the trials for each channel and modality (non-target and target)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a figure for each channel with the two modalities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differences between the two modalities (P300).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 differences the same for all channels?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headerReference r:id="rId12" w:type="default"/>
          <w:headerReference r:id="rId13" w:type="first"/>
          <w:headerReference r:id="rId14" w:type="even"/>
          <w:footerReference r:id="rId15" w:type="default"/>
          <w:footerReference r:id="rId16" w:type="first"/>
          <w:footerReference r:id="rId17" w:type="even"/>
          <w:pgSz w:h="16838" w:w="11906" w:orient="portrait"/>
          <w:pgMar w:bottom="1134" w:top="1417" w:left="1417" w:right="1417" w:header="708" w:footer="708"/>
          <w:pgNumType w:start="1"/>
        </w:sectPr>
      </w:pPr>
      <w:r w:rsidDel="00000000" w:rsidR="00000000" w:rsidRPr="00000000">
        <w:rPr/>
        <w:drawing>
          <wp:inline distB="0" distT="0" distL="0" distR="0">
            <wp:extent cx="5760720" cy="814578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Electrode positions:</w:t>
      </w:r>
    </w:p>
    <w:tbl>
      <w:tblPr>
        <w:tblStyle w:val="Table1"/>
        <w:tblW w:w="1725.0" w:type="dxa"/>
        <w:jc w:val="left"/>
        <w:tblInd w:w="55.0" w:type="dxa"/>
        <w:tblLayout w:type="fixed"/>
        <w:tblLook w:val="0400"/>
      </w:tblPr>
      <w:tblGrid>
        <w:gridCol w:w="615"/>
        <w:gridCol w:w="1110"/>
        <w:tblGridChange w:id="0">
          <w:tblGrid>
            <w:gridCol w:w="615"/>
            <w:gridCol w:w="111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Fp1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Fpz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Fp2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AFp1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AFp2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FAF1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FAF2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PPO1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PPO2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OPO1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OPO2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OI1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OI2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FT9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FAF5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FT7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TP7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P09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PO7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OPO9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PPO5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FT10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FAF6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FT8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FFC4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TP8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CFC4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CCP4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OPO10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PCP4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PPO6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ind w:right="-105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EMG1SL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EMG1IL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EMG2SL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EMG2IL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EMG1SR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417" w:left="1417" w:right="1417" w:header="708" w:footer="708"/>
      <w:cols w:equalWidth="0" w:num="3">
        <w:col w:space="708" w:w="2551.999999999999"/>
        <w:col w:space="708" w:w="2551.999999999999"/>
        <w:col w:space="0" w:w="255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Non-Invasive Brain-Computer Interfaces | Block 2a 202</w:t>
    </w:r>
    <w:r w:rsidDel="00000000" w:rsidR="00000000" w:rsidRPr="00000000">
      <w:rPr>
        <w:b w:val="1"/>
        <w:bCs w:val="1"/>
        <w:rtl w:val="0"/>
      </w:rPr>
      <w:t xml:space="preserve">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Andreea Sburlea | Bernoulli Institute | RUG</w:t>
    </w:r>
  </w:p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Practical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#1 (1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1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.02.202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147638</wp:posOffset>
              </wp:positionV>
              <wp:extent cx="5816001" cy="3175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47525" y="3780000"/>
                        <a:ext cx="5796951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-4760</wp:posOffset>
              </wp:positionH>
              <wp:positionV relativeFrom="paragraph">
                <wp:posOffset>147638</wp:posOffset>
              </wp:positionV>
              <wp:extent cx="5816001" cy="31750"/>
              <wp:effectExtent b="0" l="0" r="0" t="0"/>
              <wp:wrapNone/>
              <wp:docPr id="1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16001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c2+EFda6N+TGd1BVRE+/6KxDJA==">CgMxLjA4AHIhMXJMTFhxdmpiXzdKSDJOWmNCeG83Q2Q2VWtDanBzd0Fh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