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158E" w14:textId="77777777" w:rsidR="008B6BA8" w:rsidRPr="00AF5507" w:rsidRDefault="008B6BA8" w:rsidP="008B6BA8">
      <w:pPr>
        <w:spacing w:after="0" w:line="240" w:lineRule="auto"/>
        <w:jc w:val="center"/>
        <w:rPr>
          <w:i/>
          <w:iCs/>
          <w:color w:val="FF0000"/>
          <w:sz w:val="28"/>
          <w:szCs w:val="28"/>
          <w:lang w:val="sr-Latn-RS"/>
        </w:rPr>
      </w:pPr>
      <w:r w:rsidRPr="00AF5507">
        <w:rPr>
          <w:b/>
          <w:bCs/>
          <w:color w:val="FF0000"/>
          <w:sz w:val="28"/>
          <w:szCs w:val="28"/>
          <w:lang w:val="sr-Latn-RS"/>
        </w:rPr>
        <w:t>PROJEKAT:</w:t>
      </w:r>
      <w:r w:rsidRPr="00AF5507">
        <w:rPr>
          <w:color w:val="FF0000"/>
          <w:sz w:val="28"/>
          <w:szCs w:val="28"/>
          <w:lang w:val="sr-Latn-RS"/>
        </w:rPr>
        <w:t xml:space="preserve"> GiS baza podataka objekata i žrtava NATO bombardovanja Savezne republike Jugoslavije 1999. godine na teritoriji opštine Surdulica (Pčinjski okrug)                           </w:t>
      </w:r>
      <w:r w:rsidRPr="00AF5507">
        <w:rPr>
          <w:i/>
          <w:iCs/>
          <w:color w:val="FF0000"/>
          <w:sz w:val="28"/>
          <w:szCs w:val="28"/>
          <w:lang w:val="sr-Latn-RS"/>
        </w:rPr>
        <w:t>-Preklapanje sa bazom podataka obolelih od malignih oboljenja na teriotoriji opštine Surdulica (Pčinjski okrug)-</w:t>
      </w:r>
    </w:p>
    <w:p w14:paraId="6D9E8EDF" w14:textId="77777777" w:rsidR="008B6BA8" w:rsidRPr="00AF5507" w:rsidRDefault="008B6BA8" w:rsidP="008B6BA8">
      <w:pPr>
        <w:spacing w:after="0" w:line="240" w:lineRule="auto"/>
        <w:jc w:val="center"/>
        <w:rPr>
          <w:b/>
          <w:bCs/>
          <w:color w:val="FF0000"/>
          <w:sz w:val="32"/>
          <w:szCs w:val="32"/>
          <w:lang w:val="sr-Latn-RS"/>
        </w:rPr>
      </w:pPr>
      <w:r w:rsidRPr="00AF5507">
        <w:rPr>
          <w:b/>
          <w:bCs/>
          <w:color w:val="FF0000"/>
          <w:sz w:val="32"/>
          <w:szCs w:val="32"/>
          <w:lang w:val="sr-Latn-RS"/>
        </w:rPr>
        <w:t>-NAT</w:t>
      </w:r>
      <w:r w:rsidRPr="00AF5507">
        <w:rPr>
          <w:b/>
          <w:bCs/>
          <w:color w:val="FF0000"/>
          <w:sz w:val="40"/>
          <w:szCs w:val="40"/>
          <w:lang w:val="sr-Latn-RS"/>
        </w:rPr>
        <w:t>O</w:t>
      </w:r>
      <w:r w:rsidRPr="00AF5507">
        <w:rPr>
          <w:b/>
          <w:bCs/>
          <w:color w:val="FF0000"/>
          <w:sz w:val="32"/>
          <w:szCs w:val="32"/>
          <w:lang w:val="sr-Latn-RS"/>
        </w:rPr>
        <w:t>TANSouthSRB-</w:t>
      </w:r>
    </w:p>
    <w:p w14:paraId="76DBFA3E" w14:textId="77777777" w:rsidR="008B6BA8" w:rsidRPr="00AF5507" w:rsidRDefault="008B6BA8" w:rsidP="008B6BA8">
      <w:pPr>
        <w:spacing w:after="0" w:line="240" w:lineRule="auto"/>
        <w:jc w:val="center"/>
        <w:rPr>
          <w:b/>
          <w:bCs/>
          <w:color w:val="FF0000"/>
          <w:szCs w:val="24"/>
          <w:lang w:val="sr-Latn-RS"/>
        </w:rPr>
      </w:pPr>
    </w:p>
    <w:p w14:paraId="701C18D4" w14:textId="77777777" w:rsidR="008B6BA8" w:rsidRPr="00AF5507" w:rsidRDefault="008B6BA8" w:rsidP="008B6BA8">
      <w:pPr>
        <w:spacing w:after="0" w:line="240" w:lineRule="auto"/>
        <w:jc w:val="right"/>
        <w:rPr>
          <w:b/>
          <w:bCs/>
          <w:color w:val="FF0000"/>
          <w:sz w:val="28"/>
          <w:szCs w:val="28"/>
          <w:lang w:val="sr-Latn-RS"/>
        </w:rPr>
      </w:pPr>
      <w:r w:rsidRPr="00AF5507">
        <w:rPr>
          <w:b/>
          <w:bCs/>
          <w:color w:val="FF0000"/>
          <w:sz w:val="28"/>
          <w:szCs w:val="28"/>
          <w:lang w:val="sr-Latn-RS"/>
        </w:rPr>
        <w:t>Nikola RADAKOVIĆ, 48/2023</w:t>
      </w:r>
    </w:p>
    <w:p w14:paraId="00F1640C" w14:textId="77777777" w:rsidR="008B6BA8" w:rsidRDefault="008B6BA8" w:rsidP="008B6BA8">
      <w:pPr>
        <w:spacing w:after="0" w:line="240" w:lineRule="auto"/>
        <w:jc w:val="center"/>
        <w:rPr>
          <w:b/>
          <w:bCs/>
          <w:color w:val="000000" w:themeColor="text1"/>
          <w:sz w:val="28"/>
          <w:szCs w:val="28"/>
          <w:lang w:val="sr-Latn-RS"/>
        </w:rPr>
      </w:pPr>
    </w:p>
    <w:p w14:paraId="4797CA8B" w14:textId="6857547E" w:rsidR="008B6BA8" w:rsidRDefault="008B6BA8" w:rsidP="008B6BA8">
      <w:pPr>
        <w:spacing w:after="0" w:line="240" w:lineRule="auto"/>
        <w:jc w:val="center"/>
        <w:rPr>
          <w:b/>
          <w:bCs/>
          <w:color w:val="A6A6A6" w:themeColor="background1" w:themeShade="A6"/>
          <w:sz w:val="28"/>
          <w:szCs w:val="28"/>
          <w:lang w:val="sr-Latn-RS"/>
        </w:rPr>
      </w:pPr>
      <w:r>
        <w:rPr>
          <w:b/>
          <w:bCs/>
          <w:color w:val="000000" w:themeColor="text1"/>
          <w:sz w:val="28"/>
          <w:szCs w:val="28"/>
          <w:lang w:val="sr-Latn-RS"/>
        </w:rPr>
        <w:t xml:space="preserve">IZVEŠTAJ (09.12.2023. – 31.12.2023.) / </w:t>
      </w:r>
      <w:r w:rsidRPr="00A32B2C">
        <w:rPr>
          <w:b/>
          <w:bCs/>
          <w:color w:val="A6A6A6" w:themeColor="background1" w:themeShade="A6"/>
          <w:sz w:val="28"/>
          <w:szCs w:val="28"/>
          <w:lang w:val="sr-Latn-RS"/>
        </w:rPr>
        <w:t>Report</w:t>
      </w:r>
      <w:r>
        <w:rPr>
          <w:b/>
          <w:bCs/>
          <w:color w:val="A6A6A6" w:themeColor="background1" w:themeShade="A6"/>
          <w:sz w:val="28"/>
          <w:szCs w:val="28"/>
          <w:lang w:val="sr-Latn-RS"/>
        </w:rPr>
        <w:t xml:space="preserve"> (09.12..2023. – 31.12.2023.)</w:t>
      </w:r>
    </w:p>
    <w:p w14:paraId="2ED06519" w14:textId="79515DF5" w:rsidR="00432FB7" w:rsidRDefault="00432FB7" w:rsidP="008B6BA8">
      <w:pPr>
        <w:spacing w:after="0" w:line="240" w:lineRule="auto"/>
      </w:pPr>
    </w:p>
    <w:p w14:paraId="418E6755" w14:textId="0F1EEDF1" w:rsidR="008B6BA8" w:rsidRDefault="008B6BA8" w:rsidP="008B6BA8">
      <w:pPr>
        <w:spacing w:after="0" w:line="240" w:lineRule="auto"/>
      </w:pPr>
    </w:p>
    <w:p w14:paraId="309AE3A9" w14:textId="5E2D3048" w:rsidR="008B6BA8" w:rsidRDefault="008B6BA8" w:rsidP="008B6BA8">
      <w:pPr>
        <w:pStyle w:val="Heading2"/>
      </w:pPr>
      <w:r>
        <w:t>2.4.  Vizuelizacija obradjenih podataka</w:t>
      </w:r>
    </w:p>
    <w:p w14:paraId="06A21366" w14:textId="12CEF059" w:rsidR="008B6BA8" w:rsidRDefault="008B6BA8" w:rsidP="008B6BA8"/>
    <w:p w14:paraId="27E733F7" w14:textId="2CC195B6" w:rsidR="008B6BA8" w:rsidRDefault="008B6BA8" w:rsidP="008B6BA8">
      <w:pPr>
        <w:spacing w:after="0" w:line="240" w:lineRule="auto"/>
        <w:ind w:firstLine="720"/>
        <w:jc w:val="both"/>
      </w:pPr>
      <w:r>
        <w:t xml:space="preserve">U okviru ove faze, koja je sa razlogom trajala najduži vremenski period, svi prikupljeni podaci koji su obradjeni preko excel tabela, softvera QGiS i sl., prikazali su se u vizuelnom formatu, odnosno u excel tabeli uz pomoć funkcije “Charts”. Na ovaj način se na najbolji ali i najuočljiviji način mogu prikazati sve bitne karakteristike koje se odnose na brojeve poginulih, povredjenih ali i povećanje broja obolelih od malignih oboljenja za neki istraživani prostor. </w:t>
      </w:r>
    </w:p>
    <w:p w14:paraId="19991FEA" w14:textId="5990C11E" w:rsidR="00B249C1" w:rsidRDefault="00B249C1" w:rsidP="008B6BA8">
      <w:pPr>
        <w:spacing w:after="0" w:line="240" w:lineRule="auto"/>
        <w:ind w:firstLine="720"/>
        <w:jc w:val="both"/>
      </w:pPr>
      <w:r>
        <w:t>U okviru prve excel tabele (</w:t>
      </w:r>
      <w:r w:rsidR="00A03A80">
        <w:t>“završna tabela”), obradjivali su se podaci broja poginulih i broja povredjenih</w:t>
      </w:r>
      <w:r w:rsidR="00B169BC">
        <w:t xml:space="preserve"> na teritoriji opštine Surdulica za vreme NATO bombardovanja 1999. godine. Na prvom grafiku prikazan je broj poginulih osoba (odraslih i dece) u sva tri navrata za vreme NATO bombardovanja opštine Surdulica (prema grafiku se može videti veliki porast poginulih u poslednjem napadu). Na grafiku broj dva odradjeni su procentualni udeli poginulih po danima napada u odnosu na podelu (odrasli i deca). Treći grafik se nadovezuje na prethodni zato što je ovde prikazan procenat poginulih iz i jedne i druge grupe u odnosu na ukupan broj poginulih stanovnika opštine Surdulica. Četvrti grafik sa sobom nosi i prikazuje procenat poginulih stanovnika u odnosu na ukupan broj stanovnika opštine 1999. godine (pošto popis nije radjen 1999. godine, uzeo se </w:t>
      </w:r>
      <w:r w:rsidR="009F2C36">
        <w:t>zbir</w:t>
      </w:r>
      <w:r w:rsidR="00B169BC">
        <w:t xml:space="preserve"> </w:t>
      </w:r>
      <w:r w:rsidR="009F2C36">
        <w:t>za prvi popis pre 1999. godine i prvi popis nakon ove godine i podeljno je sa dva da bi se dobio prosek odnosno samo predstava o tome koliko je stanovnika moglo da bude u navedenoj godini). Peti uradjeni grafik predstavlja broj povredjenih osoba po danima napada, a na njega se nadovezuju grafik broj</w:t>
      </w:r>
      <w:r w:rsidR="00103D20">
        <w:t xml:space="preserve"> </w:t>
      </w:r>
      <w:r w:rsidR="009F2C36">
        <w:t>šest</w:t>
      </w:r>
      <w:r w:rsidR="00103D20">
        <w:t xml:space="preserve"> i sedam</w:t>
      </w:r>
      <w:r w:rsidR="009F2C36">
        <w:t xml:space="preserve">, gde se prikazuju procenat povredjenih osoba u odnosu na ukupan broj povredjenih (podaci nam ne pokazuju koliko je bilo povredjeno dece a koliko odraslih već pokazuje zbiran broj) i procenat povredjenih osoba u odnosu na ukupan broj stanovnika opštine Surdulica 1999. godine. Ovi grafici predstavljaju najbolji i najverniji vizuelni prikaz svega onoga što ovaj rad istražuje, pošto na slikovit način potpomognuto grafičkim prikazima prikazuje sve odnose za koje se smatralo da su bitni za istraživanu temu a još uvek nisu obradjeni ni u jednom radu. </w:t>
      </w:r>
    </w:p>
    <w:p w14:paraId="43C59C67" w14:textId="56453B5D" w:rsidR="009F2C36" w:rsidRDefault="009F2C36" w:rsidP="008B6BA8">
      <w:pPr>
        <w:spacing w:after="0" w:line="240" w:lineRule="auto"/>
        <w:ind w:firstLine="720"/>
        <w:jc w:val="both"/>
      </w:pPr>
      <w:r>
        <w:t xml:space="preserve">Sledeća excel tabela (“završna tabela 2”), na isti način, grafički, prikazuje broj obolelih od malignih oboljenja. </w:t>
      </w:r>
      <w:r w:rsidR="00950E85">
        <w:t xml:space="preserve">Pošto podataka za do 1999. godine i nakon ove godine nije bilo, uzeti su podaci sa presekom koji se radio 2005. godine, koji najpribližnije opisuje stanje ove problematike na istraživanom prostoru. Prvi grafik prikazuje ukupan broj obolelih od malignih oboljenja po godinama podele, dok se drugi grafik odmah nadovezuje i prikazuje procenat malignih oboljenja u odnosu na podelu. Treći grafik prikazuje procenat broja obolelih u odnosu na ukupan broj obolelih, dok četvrti i poslednji grafik prikazuje procenat malignih oboljenja u odnosu na ukupan broj stanovnika opštine Surdulica. </w:t>
      </w:r>
      <w:r w:rsidR="006B2F1B">
        <w:t xml:space="preserve">Ove podatke koji govore o malignim oboljenjima moramo uzeti sa jednom dozom nepoverenja, zato što nisu istraženi u punom procentu, broj je promenjljiv ali moramo uzeti i mnoge druge faktore koji utiču na nevalidnost podataka. Podaci su preuzeti sa instituta “Dr Milan Jovanović Batut” koja je referentna institucija </w:t>
      </w:r>
      <w:r w:rsidR="0040285F">
        <w:t>u oblasti ove problematike ali i oni navode mogućnost nevalidnih podataka.</w:t>
      </w:r>
    </w:p>
    <w:p w14:paraId="390340DE" w14:textId="1634F154" w:rsidR="00DC16CC" w:rsidRPr="008B6BA8" w:rsidRDefault="00DC16CC" w:rsidP="008B6BA8">
      <w:pPr>
        <w:spacing w:after="0" w:line="240" w:lineRule="auto"/>
        <w:ind w:firstLine="720"/>
        <w:jc w:val="both"/>
      </w:pPr>
      <w:r>
        <w:t>Ova podafaza predstavlja završnu podfazu u okviru faze “Realizacija projekta”, i zbog svoje kompleksnosti i dužine u radu odnela je najveći deo u istraživanju i radu.</w:t>
      </w:r>
    </w:p>
    <w:sectPr w:rsidR="00DC16CC" w:rsidRPr="008B6BA8" w:rsidSect="00A56116">
      <w:pgSz w:w="11907" w:h="16840"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D5"/>
    <w:rsid w:val="00103D20"/>
    <w:rsid w:val="0040285F"/>
    <w:rsid w:val="004203D5"/>
    <w:rsid w:val="00432FB7"/>
    <w:rsid w:val="006B2F1B"/>
    <w:rsid w:val="006D3A59"/>
    <w:rsid w:val="008B6BA8"/>
    <w:rsid w:val="00950E85"/>
    <w:rsid w:val="009F2C36"/>
    <w:rsid w:val="00A03A80"/>
    <w:rsid w:val="00A56116"/>
    <w:rsid w:val="00B169BC"/>
    <w:rsid w:val="00B249C1"/>
    <w:rsid w:val="00DC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EA43"/>
  <w15:chartTrackingRefBased/>
  <w15:docId w15:val="{8E6EECEC-673F-4115-829E-3CCB01CB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BA8"/>
  </w:style>
  <w:style w:type="paragraph" w:styleId="Heading1">
    <w:name w:val="heading 1"/>
    <w:basedOn w:val="Normal"/>
    <w:next w:val="Normal"/>
    <w:link w:val="Heading1Char"/>
    <w:uiPriority w:val="9"/>
    <w:qFormat/>
    <w:rsid w:val="006D3A59"/>
    <w:pPr>
      <w:keepNext/>
      <w:keepLines/>
      <w:spacing w:before="240" w:after="0"/>
      <w:outlineLvl w:val="0"/>
    </w:pPr>
    <w:rPr>
      <w:rFonts w:eastAsiaTheme="majorEastAsia"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8B6BA8"/>
    <w:pPr>
      <w:keepNext/>
      <w:keepLines/>
      <w:spacing w:before="40" w:after="0"/>
      <w:outlineLvl w:val="1"/>
    </w:pPr>
    <w:rPr>
      <w:rFonts w:eastAsiaTheme="majorEastAsia" w:cstheme="majorBidi"/>
      <w:b/>
      <w:color w:val="0D0D0D" w:themeColor="text1" w:themeTint="F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59"/>
    <w:rPr>
      <w:rFonts w:eastAsiaTheme="majorEastAsia" w:cstheme="majorBidi"/>
      <w:b/>
      <w:color w:val="0D0D0D" w:themeColor="text1" w:themeTint="F2"/>
      <w:sz w:val="28"/>
      <w:szCs w:val="32"/>
    </w:rPr>
  </w:style>
  <w:style w:type="character" w:customStyle="1" w:styleId="Heading2Char">
    <w:name w:val="Heading 2 Char"/>
    <w:basedOn w:val="DefaultParagraphFont"/>
    <w:link w:val="Heading2"/>
    <w:uiPriority w:val="9"/>
    <w:rsid w:val="008B6BA8"/>
    <w:rPr>
      <w:rFonts w:eastAsiaTheme="majorEastAsia" w:cstheme="majorBidi"/>
      <w:b/>
      <w:color w:val="0D0D0D" w:themeColor="text1" w:themeTint="F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2023-12-14T08:51:00Z</dcterms:created>
  <dcterms:modified xsi:type="dcterms:W3CDTF">2023-12-30T11:16:00Z</dcterms:modified>
</cp:coreProperties>
</file>