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A94BC1" w:rsidP="00B8495E">
          <w:pPr>
            <w:pStyle w:val="11"/>
            <w:rPr>
              <w:rFonts w:asciiTheme="minorHAnsi" w:eastAsiaTheme="minorEastAsia" w:hAnsiTheme="minorHAnsi"/>
              <w:noProof/>
              <w:sz w:val="22"/>
              <w:lang w:eastAsia="ru-RU"/>
            </w:rPr>
          </w:pPr>
          <w:r w:rsidRPr="00A94BC1">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Цель работы</w:t>
            </w:r>
            <w:r w:rsidR="00B8495E">
              <w:rPr>
                <w:noProof/>
              </w:rPr>
              <w:tab/>
            </w:r>
            <w:r w:rsidR="00C90979">
              <w:rPr>
                <w:noProof/>
                <w:lang w:val="en-US"/>
              </w:rPr>
              <w:t>3</w:t>
            </w:r>
          </w:hyperlink>
        </w:p>
        <w:p w:rsidR="00B8495E" w:rsidRDefault="00A94BC1" w:rsidP="00B8495E">
          <w:pPr>
            <w:pStyle w:val="11"/>
            <w:rPr>
              <w:rFonts w:asciiTheme="minorHAnsi" w:eastAsiaTheme="minorEastAsia" w:hAnsiTheme="minorHAnsi"/>
              <w:noProof/>
              <w:sz w:val="22"/>
              <w:lang w:eastAsia="ru-RU"/>
            </w:rPr>
          </w:pPr>
          <w:hyperlink w:anchor="_Toc178797424" w:history="1">
            <w:r w:rsidR="00B8495E" w:rsidRPr="00F81B31">
              <w:rPr>
                <w:rStyle w:val="a3"/>
                <w:rFonts w:eastAsia="Arial" w:cs="Arial"/>
                <w:bCs/>
                <w:noProof/>
              </w:rPr>
              <w:t>2.</w:t>
            </w:r>
            <w:r w:rsidR="00B8495E" w:rsidRPr="00F81B31">
              <w:rPr>
                <w:rStyle w:val="a3"/>
                <w:noProof/>
              </w:rPr>
              <w:t xml:space="preserve"> Описание задачи (формализация задачи)</w:t>
            </w:r>
            <w:r w:rsidR="00B8495E">
              <w:rPr>
                <w:noProof/>
              </w:rPr>
              <w:tab/>
            </w:r>
            <w:r w:rsidR="00C90979">
              <w:rPr>
                <w:noProof/>
                <w:lang w:val="en-US"/>
              </w:rPr>
              <w:t>3</w:t>
            </w:r>
          </w:hyperlink>
        </w:p>
        <w:p w:rsidR="00B8495E" w:rsidRDefault="00A94BC1" w:rsidP="00B8495E">
          <w:pPr>
            <w:pStyle w:val="11"/>
            <w:rPr>
              <w:rFonts w:asciiTheme="minorHAnsi" w:eastAsiaTheme="minorEastAsia" w:hAnsiTheme="minorHAnsi"/>
              <w:noProof/>
              <w:sz w:val="22"/>
              <w:lang w:eastAsia="ru-RU"/>
            </w:rPr>
          </w:pPr>
          <w:hyperlink w:anchor="_Toc178797431" w:history="1">
            <w:r w:rsidR="00B8495E" w:rsidRPr="00F81B31">
              <w:rPr>
                <w:rStyle w:val="a3"/>
                <w:rFonts w:eastAsia="Arial" w:cs="Arial"/>
                <w:bCs/>
                <w:noProof/>
              </w:rPr>
              <w:t>3.</w:t>
            </w:r>
            <w:r w:rsidR="00B8495E" w:rsidRPr="00F81B31">
              <w:rPr>
                <w:rStyle w:val="a3"/>
                <w:rFonts w:cs="Times New Roman"/>
                <w:noProof/>
              </w:rPr>
              <w:t xml:space="preserve"> Теоретическая часть</w:t>
            </w:r>
            <w:r w:rsidR="00B8495E">
              <w:rPr>
                <w:noProof/>
              </w:rPr>
              <w:tab/>
            </w:r>
            <w:r w:rsidR="00C90979">
              <w:rPr>
                <w:noProof/>
                <w:lang w:val="en-US"/>
              </w:rPr>
              <w:t>4</w:t>
            </w:r>
          </w:hyperlink>
        </w:p>
        <w:p w:rsidR="00B8495E" w:rsidRDefault="00A94BC1" w:rsidP="00B8495E">
          <w:pPr>
            <w:pStyle w:val="11"/>
            <w:rPr>
              <w:rFonts w:asciiTheme="minorHAnsi" w:eastAsiaTheme="minorEastAsia" w:hAnsiTheme="minorHAnsi"/>
              <w:noProof/>
              <w:sz w:val="22"/>
              <w:lang w:eastAsia="ru-RU"/>
            </w:rPr>
          </w:pPr>
          <w:hyperlink w:anchor="_Toc178797432" w:history="1">
            <w:r w:rsidR="00B8495E" w:rsidRPr="00F81B31">
              <w:rPr>
                <w:rStyle w:val="a3"/>
                <w:rFonts w:eastAsia="Arial" w:cs="Arial"/>
                <w:bCs/>
                <w:noProof/>
              </w:rPr>
              <w:t>4.</w:t>
            </w:r>
            <w:r w:rsidR="00B8495E" w:rsidRPr="00F81B31">
              <w:rPr>
                <w:rStyle w:val="a3"/>
                <w:noProof/>
              </w:rPr>
              <w:t xml:space="preserve"> Основные шаги программы</w:t>
            </w:r>
            <w:r w:rsidR="00B8495E">
              <w:rPr>
                <w:noProof/>
              </w:rPr>
              <w:tab/>
            </w:r>
            <w:r w:rsidR="00C90979">
              <w:rPr>
                <w:noProof/>
                <w:lang w:val="en-US"/>
              </w:rPr>
              <w:t>5</w:t>
            </w:r>
          </w:hyperlink>
        </w:p>
        <w:p w:rsidR="00B8495E" w:rsidRDefault="00A94BC1" w:rsidP="00B8495E">
          <w:pPr>
            <w:pStyle w:val="11"/>
            <w:rPr>
              <w:rFonts w:asciiTheme="minorHAnsi" w:eastAsiaTheme="minorEastAsia" w:hAnsiTheme="minorHAnsi"/>
              <w:noProof/>
              <w:sz w:val="22"/>
              <w:lang w:eastAsia="ru-RU"/>
            </w:rPr>
          </w:pPr>
          <w:hyperlink w:anchor="_Toc178797433" w:history="1">
            <w:r w:rsidR="00B8495E" w:rsidRPr="00F81B31">
              <w:rPr>
                <w:rStyle w:val="a3"/>
                <w:rFonts w:eastAsia="Arial" w:cs="Arial"/>
                <w:bCs/>
                <w:noProof/>
              </w:rPr>
              <w:t>5.</w:t>
            </w:r>
            <w:r w:rsidR="00B8495E" w:rsidRPr="00F81B31">
              <w:rPr>
                <w:rStyle w:val="a3"/>
                <w:noProof/>
              </w:rPr>
              <w:t xml:space="preserve"> Блок-схема программы</w:t>
            </w:r>
            <w:r w:rsidR="00B8495E">
              <w:rPr>
                <w:noProof/>
              </w:rPr>
              <w:tab/>
            </w:r>
            <w:r w:rsidR="00C90979">
              <w:rPr>
                <w:noProof/>
                <w:lang w:val="en-US"/>
              </w:rPr>
              <w:t>7</w:t>
            </w:r>
          </w:hyperlink>
        </w:p>
        <w:p w:rsidR="00B8495E" w:rsidRDefault="00A94BC1" w:rsidP="00B8495E">
          <w:pPr>
            <w:pStyle w:val="11"/>
            <w:rPr>
              <w:rFonts w:asciiTheme="minorHAnsi" w:eastAsiaTheme="minorEastAsia" w:hAnsiTheme="minorHAnsi"/>
              <w:noProof/>
              <w:sz w:val="22"/>
              <w:lang w:eastAsia="ru-RU"/>
            </w:rPr>
          </w:pPr>
          <w:hyperlink w:anchor="_Toc178797442" w:history="1">
            <w:r w:rsidR="00B8495E" w:rsidRPr="00F81B31">
              <w:rPr>
                <w:rStyle w:val="a3"/>
                <w:rFonts w:eastAsia="Arial" w:cs="Arial"/>
                <w:bCs/>
                <w:noProof/>
              </w:rPr>
              <w:t>6.</w:t>
            </w:r>
            <w:r w:rsidR="00B8495E" w:rsidRPr="00F81B31">
              <w:rPr>
                <w:rStyle w:val="a3"/>
                <w:rFonts w:cs="Times New Roman"/>
                <w:noProof/>
              </w:rPr>
              <w:t xml:space="preserve"> Описание программы</w:t>
            </w:r>
            <w:r w:rsidR="00B8495E">
              <w:rPr>
                <w:noProof/>
              </w:rPr>
              <w:tab/>
            </w:r>
            <w:r>
              <w:rPr>
                <w:noProof/>
              </w:rPr>
              <w:fldChar w:fldCharType="begin"/>
            </w:r>
            <w:r w:rsidR="00B8495E">
              <w:rPr>
                <w:noProof/>
              </w:rPr>
              <w:instrText xml:space="preserve"> PAGEREF _Toc178797442 \h </w:instrText>
            </w:r>
            <w:r>
              <w:rPr>
                <w:noProof/>
              </w:rPr>
            </w:r>
            <w:r>
              <w:rPr>
                <w:noProof/>
              </w:rPr>
              <w:fldChar w:fldCharType="separate"/>
            </w:r>
            <w:r w:rsidR="00B8495E">
              <w:rPr>
                <w:noProof/>
              </w:rPr>
              <w:t>1</w:t>
            </w:r>
            <w:r w:rsidR="00C90979">
              <w:rPr>
                <w:noProof/>
                <w:lang w:val="en-US"/>
              </w:rPr>
              <w:t>4</w:t>
            </w:r>
            <w:r>
              <w:rPr>
                <w:noProof/>
              </w:rPr>
              <w:fldChar w:fldCharType="end"/>
            </w:r>
          </w:hyperlink>
        </w:p>
        <w:p w:rsidR="00B8495E" w:rsidRDefault="00A94BC1" w:rsidP="00B8495E">
          <w:pPr>
            <w:pStyle w:val="11"/>
            <w:rPr>
              <w:rFonts w:asciiTheme="minorHAnsi" w:eastAsiaTheme="minorEastAsia" w:hAnsiTheme="minorHAnsi"/>
              <w:noProof/>
              <w:sz w:val="22"/>
              <w:lang w:eastAsia="ru-RU"/>
            </w:rPr>
          </w:pPr>
          <w:hyperlink w:anchor="_Toc178797443" w:history="1">
            <w:r w:rsidR="00B8495E" w:rsidRPr="00F81B31">
              <w:rPr>
                <w:rStyle w:val="a3"/>
                <w:rFonts w:eastAsia="Arial" w:cs="Arial"/>
                <w:bCs/>
                <w:noProof/>
              </w:rPr>
              <w:t>7.</w:t>
            </w:r>
            <w:r w:rsidR="00B8495E" w:rsidRPr="00F81B31">
              <w:rPr>
                <w:rStyle w:val="a3"/>
                <w:rFonts w:cs="Times New Roman"/>
                <w:noProof/>
              </w:rPr>
              <w:t xml:space="preserve"> Рекомендации пользователя</w:t>
            </w:r>
            <w:r w:rsidR="00B8495E">
              <w:rPr>
                <w:noProof/>
              </w:rPr>
              <w:tab/>
            </w:r>
            <w:r>
              <w:rPr>
                <w:noProof/>
              </w:rPr>
              <w:fldChar w:fldCharType="begin"/>
            </w:r>
            <w:r w:rsidR="00B8495E">
              <w:rPr>
                <w:noProof/>
              </w:rPr>
              <w:instrText xml:space="preserve"> PAGEREF _Toc178797443 \h </w:instrText>
            </w:r>
            <w:r>
              <w:rPr>
                <w:noProof/>
              </w:rPr>
            </w:r>
            <w:r>
              <w:rPr>
                <w:noProof/>
              </w:rPr>
              <w:fldChar w:fldCharType="separate"/>
            </w:r>
            <w:r w:rsidR="00B8495E">
              <w:rPr>
                <w:noProof/>
              </w:rPr>
              <w:t>1</w:t>
            </w:r>
            <w:r w:rsidR="00C90979">
              <w:rPr>
                <w:noProof/>
                <w:lang w:val="en-US"/>
              </w:rPr>
              <w:t>5</w:t>
            </w:r>
            <w:r>
              <w:rPr>
                <w:noProof/>
              </w:rPr>
              <w:fldChar w:fldCharType="end"/>
            </w:r>
          </w:hyperlink>
        </w:p>
        <w:p w:rsidR="00B8495E" w:rsidRDefault="00A94BC1" w:rsidP="00B8495E">
          <w:pPr>
            <w:pStyle w:val="11"/>
            <w:rPr>
              <w:rFonts w:asciiTheme="minorHAnsi" w:eastAsiaTheme="minorEastAsia" w:hAnsiTheme="minorHAnsi"/>
              <w:noProof/>
              <w:sz w:val="22"/>
              <w:lang w:eastAsia="ru-RU"/>
            </w:rPr>
          </w:pPr>
          <w:hyperlink w:anchor="_Toc178797444" w:history="1">
            <w:r w:rsidR="00B8495E" w:rsidRPr="00F81B31">
              <w:rPr>
                <w:rStyle w:val="a3"/>
                <w:rFonts w:eastAsia="Arial" w:cs="Arial"/>
                <w:bCs/>
                <w:noProof/>
              </w:rPr>
              <w:t>8.</w:t>
            </w:r>
            <w:r w:rsidR="00B8495E" w:rsidRPr="00F81B31">
              <w:rPr>
                <w:rStyle w:val="a3"/>
                <w:bCs/>
                <w:noProof/>
              </w:rPr>
              <w:t xml:space="preserve"> Рекомендации программиста</w:t>
            </w:r>
            <w:r w:rsidR="00B8495E">
              <w:rPr>
                <w:noProof/>
              </w:rPr>
              <w:tab/>
            </w:r>
            <w:r>
              <w:rPr>
                <w:noProof/>
              </w:rPr>
              <w:fldChar w:fldCharType="begin"/>
            </w:r>
            <w:r w:rsidR="00B8495E">
              <w:rPr>
                <w:noProof/>
              </w:rPr>
              <w:instrText xml:space="preserve"> PAGEREF _Toc178797444 \h </w:instrText>
            </w:r>
            <w:r>
              <w:rPr>
                <w:noProof/>
              </w:rPr>
            </w:r>
            <w:r>
              <w:rPr>
                <w:noProof/>
              </w:rPr>
              <w:fldChar w:fldCharType="separate"/>
            </w:r>
            <w:r w:rsidR="00B8495E">
              <w:rPr>
                <w:noProof/>
              </w:rPr>
              <w:t>1</w:t>
            </w:r>
            <w:r w:rsidR="00C90979">
              <w:rPr>
                <w:noProof/>
                <w:lang w:val="en-US"/>
              </w:rPr>
              <w:t>6</w:t>
            </w:r>
            <w:r>
              <w:rPr>
                <w:noProof/>
              </w:rPr>
              <w:fldChar w:fldCharType="end"/>
            </w:r>
          </w:hyperlink>
        </w:p>
        <w:p w:rsidR="00B8495E" w:rsidRDefault="00A94BC1" w:rsidP="00B8495E">
          <w:pPr>
            <w:pStyle w:val="11"/>
            <w:rPr>
              <w:rFonts w:asciiTheme="minorHAnsi" w:eastAsiaTheme="minorEastAsia" w:hAnsiTheme="minorHAnsi"/>
              <w:noProof/>
              <w:sz w:val="22"/>
              <w:lang w:eastAsia="ru-RU"/>
            </w:rPr>
          </w:pPr>
          <w:hyperlink w:anchor="_Toc178797445" w:history="1">
            <w:r w:rsidR="00B8495E" w:rsidRPr="00F81B31">
              <w:rPr>
                <w:rStyle w:val="a3"/>
                <w:rFonts w:eastAsia="Arial" w:cs="Arial"/>
                <w:bCs/>
                <w:noProof/>
              </w:rPr>
              <w:t>9.</w:t>
            </w:r>
            <w:r w:rsidR="00B8495E" w:rsidRPr="00F81B31">
              <w:rPr>
                <w:rStyle w:val="a3"/>
                <w:bCs/>
                <w:noProof/>
              </w:rPr>
              <w:t xml:space="preserve"> Исходный код программы</w:t>
            </w:r>
            <w:r w:rsidR="00B8495E">
              <w:rPr>
                <w:noProof/>
              </w:rPr>
              <w:tab/>
            </w:r>
            <w:r>
              <w:rPr>
                <w:noProof/>
              </w:rPr>
              <w:fldChar w:fldCharType="begin"/>
            </w:r>
            <w:r w:rsidR="00B8495E">
              <w:rPr>
                <w:noProof/>
              </w:rPr>
              <w:instrText xml:space="preserve"> PAGEREF _Toc178797445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A94BC1" w:rsidP="00B8495E">
          <w:pPr>
            <w:pStyle w:val="11"/>
            <w:rPr>
              <w:rFonts w:asciiTheme="minorHAnsi" w:eastAsiaTheme="minorEastAsia" w:hAnsiTheme="minorHAnsi"/>
              <w:noProof/>
              <w:sz w:val="22"/>
              <w:lang w:eastAsia="ru-RU"/>
            </w:rPr>
          </w:pPr>
          <w:hyperlink w:anchor="_Toc178797447" w:history="1">
            <w:r w:rsidR="00B8495E" w:rsidRPr="00F81B31">
              <w:rPr>
                <w:rStyle w:val="a3"/>
                <w:rFonts w:eastAsia="Arial" w:cs="Arial"/>
                <w:bCs/>
                <w:noProof/>
              </w:rPr>
              <w:t>10.</w:t>
            </w:r>
            <w:r w:rsidR="00B8495E" w:rsidRPr="00F81B31">
              <w:rPr>
                <w:rStyle w:val="a3"/>
                <w:bCs/>
                <w:noProof/>
              </w:rPr>
              <w:t xml:space="preserve"> Контрольный пример</w:t>
            </w:r>
            <w:r w:rsidR="00B8495E">
              <w:rPr>
                <w:noProof/>
              </w:rPr>
              <w:tab/>
            </w:r>
            <w:r>
              <w:rPr>
                <w:noProof/>
              </w:rPr>
              <w:fldChar w:fldCharType="begin"/>
            </w:r>
            <w:r w:rsidR="00B8495E">
              <w:rPr>
                <w:noProof/>
              </w:rPr>
              <w:instrText xml:space="preserve"> PAGEREF _Toc178797447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A94BC1" w:rsidP="00B8495E">
          <w:pPr>
            <w:pStyle w:val="11"/>
            <w:rPr>
              <w:rFonts w:asciiTheme="minorHAnsi" w:eastAsiaTheme="minorEastAsia" w:hAnsiTheme="minorHAnsi"/>
              <w:noProof/>
              <w:sz w:val="22"/>
              <w:lang w:eastAsia="ru-RU"/>
            </w:rPr>
          </w:pPr>
          <w:hyperlink w:anchor="_Toc178797448" w:history="1">
            <w:r w:rsidR="00B8495E" w:rsidRPr="00F81B31">
              <w:rPr>
                <w:rStyle w:val="a3"/>
                <w:rFonts w:eastAsia="Arial" w:cs="Arial"/>
                <w:bCs/>
                <w:noProof/>
              </w:rPr>
              <w:t>11.</w:t>
            </w:r>
            <w:r w:rsidR="00B8495E" w:rsidRPr="00F81B31">
              <w:rPr>
                <w:rStyle w:val="a3"/>
                <w:rFonts w:cs="Times New Roman"/>
                <w:noProof/>
              </w:rPr>
              <w:t xml:space="preserve"> Вывод</w:t>
            </w:r>
            <w:r w:rsidR="00B8495E">
              <w:rPr>
                <w:noProof/>
              </w:rPr>
              <w:tab/>
            </w:r>
            <w:r w:rsidR="00C90979">
              <w:rPr>
                <w:noProof/>
                <w:lang w:val="en-US"/>
              </w:rPr>
              <w:t>18</w:t>
            </w:r>
          </w:hyperlink>
        </w:p>
        <w:p w:rsidR="004A7D32" w:rsidRPr="00B8495E" w:rsidRDefault="00A94BC1" w:rsidP="00B8495E">
          <w:pPr>
            <w:pStyle w:val="11"/>
            <w:rPr>
              <w:rFonts w:asciiTheme="minorHAnsi" w:eastAsiaTheme="minorEastAsia" w:hAnsiTheme="minorHAnsi"/>
              <w:noProof/>
              <w:sz w:val="22"/>
              <w:lang w:eastAsia="ru-RU"/>
            </w:rPr>
          </w:pPr>
          <w:hyperlink w:anchor="_Toc178797450" w:history="1">
            <w:r w:rsidR="00B8495E" w:rsidRPr="00F81B31">
              <w:rPr>
                <w:rStyle w:val="a3"/>
                <w:rFonts w:eastAsia="Arial" w:cs="Arial"/>
                <w:bCs/>
                <w:noProof/>
              </w:rPr>
              <w:t>12.</w:t>
            </w:r>
            <w:r w:rsidR="00B8495E" w:rsidRPr="00F81B31">
              <w:rPr>
                <w:rStyle w:val="a3"/>
                <w:noProof/>
              </w:rPr>
              <w:t xml:space="preserve"> Источники</w:t>
            </w:r>
            <w:r w:rsidR="00B8495E">
              <w:rPr>
                <w:noProof/>
              </w:rPr>
              <w:tab/>
            </w:r>
            <w:r w:rsidR="00C90979">
              <w:rPr>
                <w:noProof/>
                <w:lang w:val="en-US"/>
              </w:rPr>
              <w:t>18</w:t>
            </w:r>
          </w:hyperlink>
          <w:r>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178797424"/>
      <w:bookmarkStart w:id="6" w:name="_Toc438053881"/>
      <w:r>
        <w:rPr>
          <w:szCs w:val="28"/>
        </w:rPr>
        <w:t>Описание задачи (формализация задачи)</w:t>
      </w:r>
      <w:bookmarkEnd w:id="5"/>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Генерация карт с возможностью многократного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6"/>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Pr="007C13A5"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7C13A5" w:rsidRDefault="007C13A5" w:rsidP="00F060B3">
      <w:pPr>
        <w:pStyle w:val="af4"/>
        <w:numPr>
          <w:ilvl w:val="0"/>
          <w:numId w:val="11"/>
        </w:numPr>
        <w:ind w:left="1281"/>
      </w:pPr>
      <w:r>
        <w:t>Генерируется уникальный номер карты с учётом введённых вероятностей банков и платёжных систем.</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178797433"/>
      <w:bookmarkStart w:id="17" w:name="_Toc438053884"/>
      <w:r>
        <w:lastRenderedPageBreak/>
        <w:t>Блок-схема программы</w:t>
      </w:r>
      <w:bookmarkEnd w:id="16"/>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A644D9" w:rsidP="00F060B3">
      <w:pPr>
        <w:pStyle w:val="Heading1"/>
        <w:numPr>
          <w:ilvl w:val="0"/>
          <w:numId w:val="0"/>
        </w:numPr>
        <w:jc w:val="center"/>
      </w:pPr>
      <w:r>
        <w:rPr>
          <w:noProof/>
          <w:lang w:eastAsia="ru-RU"/>
        </w:rPr>
        <w:drawing>
          <wp:inline distT="0" distB="0" distL="0" distR="0">
            <wp:extent cx="6581406" cy="645414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582246" cy="6454964"/>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A644D9" w:rsidP="00F060B3">
      <w:pPr>
        <w:pStyle w:val="Heading1"/>
        <w:numPr>
          <w:ilvl w:val="0"/>
          <w:numId w:val="0"/>
        </w:numPr>
        <w:jc w:val="center"/>
        <w:rPr>
          <w:szCs w:val="28"/>
        </w:rPr>
      </w:pPr>
      <w:r>
        <w:rPr>
          <w:b w:val="0"/>
          <w:noProof/>
          <w:szCs w:val="28"/>
          <w:lang w:eastAsia="ru-RU"/>
        </w:rPr>
        <w:lastRenderedPageBreak/>
        <w:drawing>
          <wp:inline distT="0" distB="0" distL="0" distR="0">
            <wp:extent cx="3642734" cy="761238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642734" cy="7612380"/>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3E2136" w:rsidP="00F060B3">
      <w:pPr>
        <w:pStyle w:val="Heading1"/>
        <w:numPr>
          <w:ilvl w:val="0"/>
          <w:numId w:val="0"/>
        </w:numPr>
        <w:jc w:val="center"/>
        <w:rPr>
          <w:szCs w:val="28"/>
        </w:rPr>
      </w:pPr>
      <w:r>
        <w:rPr>
          <w:b w:val="0"/>
          <w:noProof/>
          <w:szCs w:val="28"/>
          <w:lang w:eastAsia="ru-RU"/>
        </w:rPr>
        <w:lastRenderedPageBreak/>
        <w:drawing>
          <wp:inline distT="0" distB="0" distL="0" distR="0">
            <wp:extent cx="6490335" cy="4870347"/>
            <wp:effectExtent l="19050" t="0" r="571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490335" cy="4870347"/>
                    </a:xfrm>
                    <a:prstGeom prst="rect">
                      <a:avLst/>
                    </a:prstGeom>
                    <a:noFill/>
                    <a:ln w="9525">
                      <a:noFill/>
                      <a:miter lim="800000"/>
                      <a:headEnd/>
                      <a:tailEnd/>
                    </a:ln>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4568190" cy="6968030"/>
            <wp:effectExtent l="19050" t="0" r="381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568190" cy="696803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3639185" cy="560133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39185" cy="56013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6185140" cy="5180692"/>
            <wp:effectExtent l="19050" t="0" r="611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186774" cy="518206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3E2136" w:rsidP="00F060B3">
      <w:pPr>
        <w:pStyle w:val="Heading1"/>
        <w:numPr>
          <w:ilvl w:val="0"/>
          <w:numId w:val="0"/>
        </w:numPr>
        <w:jc w:val="center"/>
        <w:rPr>
          <w:b w:val="0"/>
          <w:szCs w:val="28"/>
        </w:rPr>
      </w:pPr>
      <w:r>
        <w:rPr>
          <w:b w:val="0"/>
          <w:noProof/>
          <w:szCs w:val="28"/>
          <w:lang w:eastAsia="ru-RU"/>
        </w:rPr>
        <w:lastRenderedPageBreak/>
        <w:drawing>
          <wp:inline distT="0" distB="0" distL="0" distR="0">
            <wp:extent cx="5039352" cy="7414260"/>
            <wp:effectExtent l="19050" t="0" r="8898"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038163" cy="741251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3E2136" w:rsidRDefault="003E2136"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lastRenderedPageBreak/>
        <w:t>Описание программы</w:t>
      </w:r>
      <w:bookmarkEnd w:id="17"/>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[1]</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E52D3C">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Pr="003E2136" w:rsidRDefault="0055331B" w:rsidP="00EB2C60">
      <w:pPr>
        <w:jc w:val="right"/>
        <w:rPr>
          <w:szCs w:val="28"/>
        </w:rPr>
      </w:pPr>
    </w:p>
    <w:p w:rsidR="00070891" w:rsidRDefault="00070891" w:rsidP="00EB2C60">
      <w:pPr>
        <w:jc w:val="right"/>
        <w:rPr>
          <w:szCs w:val="28"/>
        </w:rPr>
      </w:pPr>
    </w:p>
    <w:p w:rsidR="003E2136" w:rsidRDefault="003E2136" w:rsidP="00EB2C60">
      <w:pPr>
        <w:jc w:val="right"/>
        <w:rPr>
          <w:szCs w:val="28"/>
        </w:rPr>
      </w:pPr>
    </w:p>
    <w:p w:rsidR="003E2136" w:rsidRPr="003E2136" w:rsidRDefault="003E2136" w:rsidP="00EB2C60">
      <w:pPr>
        <w:jc w:val="right"/>
        <w:rPr>
          <w:szCs w:val="28"/>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E52D3C" w:rsidRDefault="00E52D3C" w:rsidP="00E52D3C">
      <w:pPr>
        <w:pStyle w:val="af4"/>
        <w:ind w:left="720" w:firstLine="0"/>
        <w:contextualSpacing w:val="0"/>
      </w:pPr>
    </w:p>
    <w:p w:rsidR="009B0C82" w:rsidRDefault="009B0C82" w:rsidP="009B0C82">
      <w:pPr>
        <w:pStyle w:val="af4"/>
        <w:ind w:left="720" w:firstLine="0"/>
        <w:contextualSpacing w:val="0"/>
      </w:pPr>
    </w:p>
    <w:p w:rsidR="004A7D32" w:rsidRDefault="003839A6">
      <w:pPr>
        <w:rPr>
          <w:szCs w:val="28"/>
        </w:rPr>
      </w:pPr>
      <w:r>
        <w:rPr>
          <w:szCs w:val="28"/>
        </w:rPr>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w:t>
        </w:r>
        <w:r w:rsidRPr="00C90979">
          <w:rPr>
            <w:rStyle w:val="a3"/>
            <w:b w:val="0"/>
            <w:lang w:val="ru-RU"/>
          </w:rPr>
          <w:t>://</w:t>
        </w:r>
        <w:proofErr w:type="spellStart"/>
        <w:r w:rsidRPr="009B0C82">
          <w:rPr>
            <w:rStyle w:val="a3"/>
            <w:b w:val="0"/>
          </w:rPr>
          <w:t>github</w:t>
        </w:r>
        <w:proofErr w:type="spellEnd"/>
        <w:r w:rsidRPr="00C90979">
          <w:rPr>
            <w:rStyle w:val="a3"/>
            <w:b w:val="0"/>
            <w:lang w:val="ru-RU"/>
          </w:rPr>
          <w:t>.</w:t>
        </w:r>
        <w:r w:rsidRPr="009B0C82">
          <w:rPr>
            <w:rStyle w:val="a3"/>
            <w:b w:val="0"/>
          </w:rPr>
          <w:t>com</w:t>
        </w:r>
        <w:r w:rsidRPr="00C90979">
          <w:rPr>
            <w:rStyle w:val="a3"/>
            <w:b w:val="0"/>
            <w:lang w:val="ru-RU"/>
          </w:rPr>
          <w:t>/</w:t>
        </w:r>
        <w:proofErr w:type="spellStart"/>
        <w:r w:rsidRPr="009B0C82">
          <w:rPr>
            <w:rStyle w:val="a3"/>
            <w:b w:val="0"/>
          </w:rPr>
          <w:t>NikiTaku</w:t>
        </w:r>
        <w:proofErr w:type="spellEnd"/>
        <w:r w:rsidRPr="00C90979">
          <w:rPr>
            <w:rStyle w:val="a3"/>
            <w:b w:val="0"/>
            <w:lang w:val="ru-RU"/>
          </w:rPr>
          <w:t>1/</w:t>
        </w:r>
        <w:proofErr w:type="spellStart"/>
        <w:r w:rsidRPr="009B0C82">
          <w:rPr>
            <w:rStyle w:val="a3"/>
            <w:b w:val="0"/>
          </w:rPr>
          <w:t>spbu</w:t>
        </w:r>
        <w:proofErr w:type="spellEnd"/>
        <w:r w:rsidRPr="00C90979">
          <w:rPr>
            <w:rStyle w:val="a3"/>
            <w:b w:val="0"/>
            <w:lang w:val="ru-RU"/>
          </w:rPr>
          <w:t>_</w:t>
        </w:r>
        <w:proofErr w:type="spellStart"/>
        <w:r w:rsidRPr="009B0C82">
          <w:rPr>
            <w:rStyle w:val="a3"/>
            <w:b w:val="0"/>
          </w:rPr>
          <w:t>alg</w:t>
        </w:r>
        <w:proofErr w:type="spellEnd"/>
        <w:r w:rsidRPr="00C90979">
          <w:rPr>
            <w:rStyle w:val="a3"/>
            <w:b w:val="0"/>
            <w:lang w:val="ru-RU"/>
          </w:rPr>
          <w:t>/</w:t>
        </w:r>
        <w:r w:rsidRPr="009B0C82">
          <w:rPr>
            <w:rStyle w:val="a3"/>
            <w:b w:val="0"/>
          </w:rPr>
          <w:t>tree</w:t>
        </w:r>
        <w:r w:rsidRPr="00C90979">
          <w:rPr>
            <w:rStyle w:val="a3"/>
            <w:b w:val="0"/>
            <w:lang w:val="ru-RU"/>
          </w:rPr>
          <w:t>/</w:t>
        </w:r>
        <w:r w:rsidRPr="009B0C82">
          <w:rPr>
            <w:rStyle w:val="a3"/>
            <w:b w:val="0"/>
          </w:rPr>
          <w:t>main</w:t>
        </w:r>
        <w:r w:rsidRPr="00C90979">
          <w:rPr>
            <w:rStyle w:val="a3"/>
            <w:b w:val="0"/>
            <w:lang w:val="ru-RU"/>
          </w:rPr>
          <w:t>/</w:t>
        </w:r>
        <w:r w:rsidRPr="009B0C82">
          <w:rPr>
            <w:rStyle w:val="a3"/>
            <w:b w:val="0"/>
          </w:rPr>
          <w:t>lab</w:t>
        </w:r>
        <w:r w:rsidRPr="00C90979">
          <w:rPr>
            <w:rStyle w:val="a3"/>
            <w:b w:val="0"/>
            <w:lang w:val="ru-RU"/>
          </w:rPr>
          <w:t>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DC654B">
      <w:pPr>
        <w:ind w:firstLine="0"/>
        <w:jc w:val="center"/>
      </w:pPr>
      <w:r>
        <w:rPr>
          <w:noProof/>
          <w:lang w:eastAsia="ru-RU"/>
        </w:rPr>
        <w:drawing>
          <wp:inline distT="0" distB="0" distL="0" distR="0">
            <wp:extent cx="5078730" cy="3009376"/>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82053" cy="3011345"/>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 xml:space="preserve">Рис. </w:t>
      </w:r>
      <w:r w:rsidR="00DC654B" w:rsidRPr="00070891">
        <w:rPr>
          <w:sz w:val="24"/>
          <w:szCs w:val="24"/>
        </w:rPr>
        <w:t>10</w:t>
      </w:r>
      <w:r w:rsidRPr="009B0C82">
        <w:rPr>
          <w:sz w:val="24"/>
          <w:szCs w:val="24"/>
        </w:rPr>
        <w:t>.2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Pr="00C90979" w:rsidRDefault="00A80081" w:rsidP="00A80081">
      <w:pPr>
        <w:pStyle w:val="Heading1"/>
        <w:numPr>
          <w:ilvl w:val="0"/>
          <w:numId w:val="0"/>
        </w:numPr>
        <w:ind w:firstLine="643"/>
        <w:rPr>
          <w:b w:val="0"/>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C90979" w:rsidRDefault="00DD3D5B" w:rsidP="00A80081">
      <w:pPr>
        <w:pStyle w:val="Heading1"/>
        <w:numPr>
          <w:ilvl w:val="0"/>
          <w:numId w:val="0"/>
        </w:numPr>
        <w:ind w:firstLine="643"/>
        <w:rPr>
          <w:b w:val="0"/>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random"/>
      <w:bookmarkStart w:id="38" w:name="_Toc178797451"/>
      <w:bookmarkEnd w:id="37"/>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38"/>
    </w:p>
    <w:p w:rsidR="00A80081" w:rsidRPr="00DD3D5B" w:rsidRDefault="00A80081" w:rsidP="00A80081">
      <w:pPr>
        <w:pStyle w:val="Heading1"/>
        <w:numPr>
          <w:ilvl w:val="0"/>
          <w:numId w:val="16"/>
        </w:numPr>
        <w:rPr>
          <w:b w:val="0"/>
          <w:color w:val="0563C1" w:themeColor="hyperlink"/>
          <w:sz w:val="24"/>
          <w:u w:val="single"/>
          <w:lang w:val="en-US"/>
        </w:rPr>
      </w:pPr>
      <w:bookmarkStart w:id="39" w:name="datetime"/>
      <w:bookmarkStart w:id="40" w:name="_Toc178797452"/>
      <w:bookmarkEnd w:id="39"/>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0"/>
    </w:p>
    <w:p w:rsidR="00DD3D5B" w:rsidRPr="00DD3D5B" w:rsidRDefault="00DD3D5B" w:rsidP="00A80081">
      <w:pPr>
        <w:pStyle w:val="Heading1"/>
        <w:numPr>
          <w:ilvl w:val="0"/>
          <w:numId w:val="16"/>
        </w:numPr>
        <w:rPr>
          <w:b w:val="0"/>
          <w:color w:val="0563C1" w:themeColor="hyperlink"/>
          <w:sz w:val="24"/>
          <w:u w:val="single"/>
          <w:lang w:val="en-US"/>
        </w:rPr>
      </w:pPr>
      <w:bookmarkStart w:id="41" w:name="pandas"/>
      <w:bookmarkStart w:id="42" w:name="_Toc178797453"/>
      <w:bookmarkEnd w:id="41"/>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2"/>
    </w:p>
    <w:p w:rsidR="00A80081" w:rsidRPr="00DD3D5B" w:rsidRDefault="00DD3D5B" w:rsidP="00DD3D5B">
      <w:pPr>
        <w:pStyle w:val="Heading1"/>
        <w:numPr>
          <w:ilvl w:val="0"/>
          <w:numId w:val="16"/>
        </w:numPr>
        <w:rPr>
          <w:b w:val="0"/>
          <w:color w:val="0563C1" w:themeColor="hyperlink"/>
          <w:sz w:val="24"/>
          <w:u w:val="single"/>
          <w:lang w:val="en-US"/>
        </w:rPr>
      </w:pPr>
      <w:bookmarkStart w:id="43" w:name="tkinter"/>
      <w:bookmarkStart w:id="44" w:name="_Toc178797454"/>
      <w:bookmarkEnd w:id="43"/>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4"/>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DE3" w:rsidRDefault="00A86DE3" w:rsidP="004A7D32">
      <w:pPr>
        <w:spacing w:line="240" w:lineRule="auto"/>
      </w:pPr>
      <w:r>
        <w:separator/>
      </w:r>
    </w:p>
  </w:endnote>
  <w:endnote w:type="continuationSeparator" w:id="0">
    <w:p w:rsidR="00A86DE3" w:rsidRDefault="00A86DE3"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A94BC1">
    <w:pPr>
      <w:pStyle w:val="Footer"/>
      <w:jc w:val="center"/>
    </w:pPr>
    <w:r>
      <w:fldChar w:fldCharType="begin"/>
    </w:r>
    <w:r w:rsidR="003839A6">
      <w:instrText xml:space="preserve"> PAGE </w:instrText>
    </w:r>
    <w:r>
      <w:fldChar w:fldCharType="separate"/>
    </w:r>
    <w:r w:rsidR="00A644D9">
      <w:rPr>
        <w:noProof/>
      </w:rPr>
      <w:t>15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DE3" w:rsidRDefault="00A86DE3" w:rsidP="004A7D32">
      <w:pPr>
        <w:spacing w:line="240" w:lineRule="auto"/>
      </w:pPr>
      <w:r>
        <w:separator/>
      </w:r>
    </w:p>
  </w:footnote>
  <w:footnote w:type="continuationSeparator" w:id="0">
    <w:p w:rsidR="00A86DE3" w:rsidRDefault="00A86DE3"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04750C"/>
    <w:rsid w:val="00070891"/>
    <w:rsid w:val="00156B59"/>
    <w:rsid w:val="001C3DC8"/>
    <w:rsid w:val="003839A6"/>
    <w:rsid w:val="003E2136"/>
    <w:rsid w:val="0042175D"/>
    <w:rsid w:val="004628D8"/>
    <w:rsid w:val="00476A18"/>
    <w:rsid w:val="004A7D32"/>
    <w:rsid w:val="004C712A"/>
    <w:rsid w:val="0055331B"/>
    <w:rsid w:val="005E5E62"/>
    <w:rsid w:val="00722F77"/>
    <w:rsid w:val="007C13A5"/>
    <w:rsid w:val="007C58B1"/>
    <w:rsid w:val="008658BB"/>
    <w:rsid w:val="0093255E"/>
    <w:rsid w:val="009B0C82"/>
    <w:rsid w:val="00A644D9"/>
    <w:rsid w:val="00A80081"/>
    <w:rsid w:val="00A803BC"/>
    <w:rsid w:val="00A86DE3"/>
    <w:rsid w:val="00A94BC1"/>
    <w:rsid w:val="00AD04B6"/>
    <w:rsid w:val="00AF2254"/>
    <w:rsid w:val="00B8495E"/>
    <w:rsid w:val="00C3653C"/>
    <w:rsid w:val="00C90979"/>
    <w:rsid w:val="00D33020"/>
    <w:rsid w:val="00DC654B"/>
    <w:rsid w:val="00DD3D5B"/>
    <w:rsid w:val="00E11BAA"/>
    <w:rsid w:val="00E4515F"/>
    <w:rsid w:val="00E52D3C"/>
    <w:rsid w:val="00E72E03"/>
    <w:rsid w:val="00EA5471"/>
    <w:rsid w:val="00EB2C60"/>
    <w:rsid w:val="00EC0449"/>
    <w:rsid w:val="00F060B3"/>
    <w:rsid w:val="00F86B81"/>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64DC600F-19EE-4891-9909-015A6B02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18</Pages>
  <Words>1718</Words>
  <Characters>9794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18</cp:revision>
  <dcterms:created xsi:type="dcterms:W3CDTF">2024-02-28T14:43:00Z</dcterms:created>
  <dcterms:modified xsi:type="dcterms:W3CDTF">2024-10-03T20:55:00Z</dcterms:modified>
  <dc:language>en-US</dc:language>
</cp:coreProperties>
</file>