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65961"/>
          <w:sz w:val="32"/>
          <w:szCs w:val="32"/>
        </w:rPr>
        <w:t xml:space="preserve">APA Rhumatologie — Validation médicale</w:t>
      </w:r>
    </w:p>
    <w:p>
      <w:pPr>
        <w:spacing w:after="60"/>
      </w:pPr>
      <w:r>
        <w:rPr>
          <w:color w:val="555555"/>
          <w:sz w:val="24"/>
          <w:szCs w:val="24"/>
        </w:rPr>
        <w:t xml:space="preserve">État des lieux et prochaines étapes pour le Dr Wendtongo Brice Florent NIKIEMA</w:t>
      </w:r>
    </w:p>
    <w:p>
      <w:pPr>
        <w:spacing w:after="300"/>
      </w:pPr>
      <w:r>
        <w:rPr>
          <w:i/>
          <w:iCs/>
          <w:color w:val="777777"/>
          <w:sz w:val="20"/>
          <w:szCs w:val="20"/>
        </w:rPr>
        <w:t xml:space="preserve">Document généré le 20 août 2026, à l'issue du Sprint 15 (fin du développement technique des 15 sprints prévus).</w:t>
      </w:r>
    </w:p>
    <w:p>
      <w:pPr>
        <w:spacing w:after="140"/>
      </w:pPr>
      <w:r>
        <w:t xml:space="preserve">Ce document rassemble, en un seul endroit et par ordre de facilité d'action, tout ce qui reste à valider médicalement avant que l'application puisse être utilisée par de vrais patients. Rien n'a été inventé pour combler les manques : chaque paramètre listé ci-dessous est explicitement marqué en attente dans le code (TODO_MEDICAL_VALIDATION / MEDICAL_PARAMETER_REQUIRED), conformément à la règle absolue du cahier des charges (§57, §59).</w:t>
      </w:r>
    </w:p>
    <w:p>
      <w:pPr>
        <w:spacing w:after="140"/>
      </w:pPr>
      <w:r>
        <w:t xml:space="preserve">Il fait la synthèse de deux sources déjà présentes dans le dépôt du projet : docs/MEDICAL_VALIDATION_NEEDED.md (liste vivante, mise à jour à chaque sprint) et le journal de recherche du gabarit d'exercices (infra/db/seed/tools/gabarit_exercices_apa_rhumato.xlsx, onglet « Journal de recherche »).</w:t>
      </w:r>
    </w:p>
    <w:p>
      <w:pPr>
        <w:pStyle w:val="Heading1"/>
        <w:spacing w:after="160" w:before="360"/>
      </w:pPr>
      <w:r>
        <w:t xml:space="preserve">1. Vue d'ensemble</w:t>
      </w:r>
    </w:p>
    <w:p>
      <w:pPr>
        <w:spacing w:after="140"/>
      </w:pPr>
      <w:r>
        <w:t xml:space="preserve">Trois symboles résument l'état de chaque paramètre :</w:t>
      </w:r>
    </w:p>
    <w:p>
      <w:pPr>
        <w:pStyle w:val="ListParagraph"/>
        <w:numPr>
          <w:ilvl w:val="0"/>
          <w:numId w:val="2"/>
        </w:numPr>
        <w:spacing w:after="80"/>
      </w:pPr>
      <w:r>
        <w:t xml:space="preserve">✅ Validé — implémenté tel quel, rien à faire.</w:t>
      </w:r>
    </w:p>
    <w:p>
      <w:pPr>
        <w:pStyle w:val="ListParagraph"/>
        <w:numPr>
          <w:ilvl w:val="0"/>
          <w:numId w:val="2"/>
        </w:numPr>
        <w:spacing w:after="80"/>
      </w:pPr>
      <w:r>
        <w:t xml:space="preserve">✏️ Validé avec réserves / brouillon sourcé — une proposition existe déjà, sourcée sur la littérature scientifique, et n'attend qu'une relecture puis une activation (souvent en un clic depuis /admin).</w:t>
      </w:r>
    </w:p>
    <w:p>
      <w:pPr>
        <w:pStyle w:val="ListParagraph"/>
        <w:numPr>
          <w:ilvl w:val="0"/>
          <w:numId w:val="2"/>
        </w:numPr>
        <w:spacing w:after="80"/>
      </w:pPr>
      <w:r>
        <w:t xml:space="preserve">⏳ En attente — nécessite un jugement clinique original du concepteur médical, rien n'est encore proposé.</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360"/>
      </w:tblGrid>
      <w:tr>
        <w:tc>
          <w:tcPr>
            <w:tcW w:type="dxa" w:w="700"/>
            <w:shd w:fill="265961" w:val="clear"/>
          </w:tcPr>
          <w:p>
            <w:r>
              <w:rPr>
                <w:b/>
                <w:bCs/>
                <w:color w:val="FFFFFF"/>
                <w:sz w:val="20"/>
                <w:szCs w:val="20"/>
              </w:rPr>
              <w:t xml:space="preserve">Statut</w:t>
            </w:r>
          </w:p>
        </w:tc>
        <w:tc>
          <w:tcPr>
            <w:tcW w:type="dxa" w:w="2300"/>
            <w:shd w:fill="265961" w:val="clear"/>
          </w:tcPr>
          <w:p>
            <w:r>
              <w:rPr>
                <w:b/>
                <w:bCs/>
                <w:color w:val="FFFFFF"/>
                <w:sz w:val="20"/>
                <w:szCs w:val="20"/>
              </w:rPr>
              <w:t xml:space="preserve">Module</w:t>
            </w:r>
          </w:p>
        </w:tc>
        <w:tc>
          <w:tcPr>
            <w:tcW w:type="dxa" w:w="6360"/>
            <w:shd w:fill="265961" w:val="clear"/>
          </w:tcPr>
          <w:p>
            <w:r>
              <w:rPr>
                <w:b/>
                <w:bCs/>
                <w:color w:val="FFFFFF"/>
                <w:sz w:val="20"/>
                <w:szCs w:val="20"/>
              </w:rPr>
              <w:t xml:space="preserve">Paramètre</w:t>
            </w:r>
          </w:p>
        </w:tc>
      </w:tr>
      <w:tr>
        <w:tc>
          <w:tcPr>
            <w:tcW w:type="dxa" w:w="700"/>
            <w:shd w:fill="C6EFCE" w:val="clear"/>
          </w:tcPr>
          <w:p>
            <w:pPr>
              <w:jc w:val="center"/>
            </w:pPr>
            <w:r>
              <w:rPr>
                <w:b/>
                <w:bCs/>
              </w:rPr>
              <w:t xml:space="preserve">✅</w:t>
            </w:r>
          </w:p>
        </w:tc>
        <w:tc>
          <w:tcPr>
            <w:tcW w:type="dxa" w:w="2300"/>
          </w:tcPr>
          <w:p>
            <w:r>
              <w:t xml:space="preserve">Transversal</w:t>
            </w:r>
          </w:p>
        </w:tc>
        <w:tc>
          <w:tcPr>
            <w:tcW w:type="dxa" w:w="6360"/>
          </w:tcPr>
          <w:p>
            <w:r>
              <w:t xml:space="preserve">Ostéoporose — fracture récente → pas de programme automatique (§21, Cas 4 §56)</w:t>
            </w:r>
          </w:p>
        </w:tc>
      </w:tr>
      <w:tr>
        <w:tc>
          <w:tcPr>
            <w:tcW w:type="dxa" w:w="700"/>
            <w:shd w:fill="C6EFCE" w:val="clear"/>
          </w:tcPr>
          <w:p>
            <w:pPr>
              <w:jc w:val="center"/>
            </w:pPr>
            <w:r>
              <w:rPr>
                <w:b/>
                <w:bCs/>
              </w:rPr>
              <w:t xml:space="preserve">✅</w:t>
            </w:r>
          </w:p>
        </w:tc>
        <w:tc>
          <w:tcPr>
            <w:tcW w:type="dxa" w:w="2300"/>
          </w:tcPr>
          <w:p>
            <w:r>
              <w:t xml:space="preserve">Lombalgie</w:t>
            </w:r>
          </w:p>
        </w:tc>
        <w:tc>
          <w:tcPr>
            <w:tcW w:type="dxa" w:w="6360"/>
          </w:tcPr>
          <w:p>
            <w:r>
              <w:t xml:space="preserve">Liste des 11 red flags (§16)</w:t>
            </w:r>
          </w:p>
        </w:tc>
      </w:tr>
      <w:tr>
        <w:tc>
          <w:tcPr>
            <w:tcW w:type="dxa" w:w="700"/>
            <w:shd w:fill="FFEB9C" w:val="clear"/>
          </w:tcPr>
          <w:p>
            <w:pPr>
              <w:jc w:val="center"/>
            </w:pPr>
            <w:r>
              <w:rPr>
                <w:b/>
                <w:bCs/>
              </w:rPr>
              <w:t xml:space="preserve">✏️</w:t>
            </w:r>
          </w:p>
        </w:tc>
        <w:tc>
          <w:tcPr>
            <w:tcW w:type="dxa" w:w="2300"/>
          </w:tcPr>
          <w:p>
            <w:r>
              <w:t xml:space="preserve">Arthrose genou / hanche / PR</w:t>
            </w:r>
          </w:p>
        </w:tc>
        <w:tc>
          <w:tcPr>
            <w:tcW w:type="dxa" w:w="6360"/>
          </w:tcPr>
          <w:p>
            <w:r>
              <w:t xml:space="preserve">Suspicion d'arthrite septique (chaud + gonflé, ou fièvre) — Coakley et al. 2006, prête à activer</w:t>
            </w:r>
          </w:p>
        </w:tc>
      </w:tr>
      <w:tr>
        <w:tc>
          <w:tcPr>
            <w:tcW w:type="dxa" w:w="700"/>
            <w:shd w:fill="FFEB9C" w:val="clear"/>
          </w:tcPr>
          <w:p>
            <w:pPr>
              <w:jc w:val="center"/>
            </w:pPr>
            <w:r>
              <w:rPr>
                <w:b/>
                <w:bCs/>
              </w:rPr>
              <w:t xml:space="preserve">✏️</w:t>
            </w:r>
          </w:p>
        </w:tc>
        <w:tc>
          <w:tcPr>
            <w:tcW w:type="dxa" w:w="2300"/>
          </w:tcPr>
          <w:p>
            <w:r>
              <w:t xml:space="preserve">Spondyloarthrite axiale</w:t>
            </w:r>
          </w:p>
        </w:tc>
        <w:tc>
          <w:tcPr>
            <w:tcW w:type="dxa" w:w="6360"/>
          </w:tcPr>
          <w:p>
            <w:r>
              <w:t xml:space="preserve">Traumatisme récent → risque de fracture rachidienne — Shah et al. 2019, prête à activer</w:t>
            </w:r>
          </w:p>
        </w:tc>
      </w:tr>
      <w:tr>
        <w:tc>
          <w:tcPr>
            <w:tcW w:type="dxa" w:w="700"/>
            <w:shd w:fill="FFEB9C" w:val="clear"/>
          </w:tcPr>
          <w:p>
            <w:pPr>
              <w:jc w:val="center"/>
            </w:pPr>
            <w:r>
              <w:rPr>
                <w:b/>
                <w:bCs/>
              </w:rPr>
              <w:t xml:space="preserve">✏️</w:t>
            </w:r>
          </w:p>
        </w:tc>
        <w:tc>
          <w:tcPr>
            <w:tcW w:type="dxa" w:w="2300"/>
          </w:tcPr>
          <w:p>
            <w:r>
              <w:t xml:space="preserve">Transversal</w:t>
            </w:r>
          </w:p>
        </w:tc>
        <w:tc>
          <w:tcPr>
            <w:tcW w:type="dxa" w:w="6360"/>
          </w:tcPr>
          <w:p>
            <w:r>
              <w:t xml:space="preserve">Contre-indications par exercice — 8 lignes brouillon sourcées, en relecture</w:t>
            </w:r>
          </w:p>
        </w:tc>
      </w:tr>
      <w:tr>
        <w:tc>
          <w:tcPr>
            <w:tcW w:type="dxa" w:w="700"/>
            <w:shd w:fill="FFEB9C" w:val="clear"/>
          </w:tcPr>
          <w:p>
            <w:pPr>
              <w:jc w:val="center"/>
            </w:pPr>
            <w:r>
              <w:rPr>
                <w:b/>
                <w:bCs/>
              </w:rPr>
              <w:t xml:space="preserve">✏️</w:t>
            </w:r>
          </w:p>
        </w:tc>
        <w:tc>
          <w:tcPr>
            <w:tcW w:type="dxa" w:w="2300"/>
          </w:tcPr>
          <w:p>
            <w:r>
              <w:t xml:space="preserve">Transversal</w:t>
            </w:r>
          </w:p>
        </w:tc>
        <w:tc>
          <w:tcPr>
            <w:tcW w:type="dxa" w:w="6360"/>
          </w:tcPr>
          <w:p>
            <w:r>
              <w:t xml:space="preserve">Choix des exercices spécifiques — 8 exercices brouillon proposés et sourcés</w:t>
            </w:r>
          </w:p>
        </w:tc>
      </w:tr>
      <w:tr>
        <w:tc>
          <w:tcPr>
            <w:tcW w:type="dxa" w:w="700"/>
            <w:shd w:fill="FFEB9C" w:val="clear"/>
          </w:tcPr>
          <w:p>
            <w:pPr>
              <w:jc w:val="center"/>
            </w:pPr>
            <w:r>
              <w:rPr>
                <w:b/>
                <w:bCs/>
              </w:rPr>
              <w:t xml:space="preserve">✏️</w:t>
            </w:r>
          </w:p>
        </w:tc>
        <w:tc>
          <w:tcPr>
            <w:tcW w:type="dxa" w:w="2300"/>
          </w:tcPr>
          <w:p>
            <w:r>
              <w:t xml:space="preserve">Transversal</w:t>
            </w:r>
          </w:p>
        </w:tc>
        <w:tc>
          <w:tcPr>
            <w:tcW w:type="dxa" w:w="6360"/>
          </w:tcPr>
          <w:p>
            <w:r>
              <w:t xml:space="preserve">Niveaux de difficulté — codes définis, critères de passage chiffrés en attente</w:t>
            </w:r>
          </w:p>
        </w:tc>
      </w:tr>
      <w:tr>
        <w:tc>
          <w:tcPr>
            <w:tcW w:type="dxa" w:w="700"/>
            <w:shd w:fill="FFEB9C" w:val="clear"/>
          </w:tcPr>
          <w:p>
            <w:pPr>
              <w:jc w:val="center"/>
            </w:pPr>
            <w:r>
              <w:rPr>
                <w:b/>
                <w:bCs/>
              </w:rPr>
              <w:t xml:space="preserve">✏️</w:t>
            </w:r>
          </w:p>
        </w:tc>
        <w:tc>
          <w:tcPr>
            <w:tcW w:type="dxa" w:w="2300"/>
          </w:tcPr>
          <w:p>
            <w:r>
              <w:t xml:space="preserve">Transversal</w:t>
            </w:r>
          </w:p>
        </w:tc>
        <w:tc>
          <w:tcPr>
            <w:tcW w:type="dxa" w:w="6360"/>
          </w:tcPr>
          <w:p>
            <w:r>
              <w:t xml:space="preserve">Messages de sécurité — §16 repris littéralement, reste à valider pour ostéoporose/orange</w:t>
            </w:r>
          </w:p>
        </w:tc>
      </w:tr>
      <w:tr>
        <w:tc>
          <w:tcPr>
            <w:tcW w:type="dxa" w:w="700"/>
            <w:shd w:fill="FFEB9C" w:val="clear"/>
          </w:tcPr>
          <w:p>
            <w:pPr>
              <w:jc w:val="center"/>
            </w:pPr>
            <w:r>
              <w:rPr>
                <w:b/>
                <w:bCs/>
              </w:rPr>
              <w:t xml:space="preserve">✏️</w:t>
            </w:r>
          </w:p>
        </w:tc>
        <w:tc>
          <w:tcPr>
            <w:tcW w:type="dxa" w:w="2300"/>
          </w:tcPr>
          <w:p>
            <w:r>
              <w:t xml:space="preserve">Transversal</w:t>
            </w:r>
          </w:p>
        </w:tc>
        <w:tc>
          <w:tcPr>
            <w:tcW w:type="dxa" w:w="6360"/>
          </w:tcPr>
          <w:p>
            <w:r>
              <w:t xml:space="preserve">Formule de calcul de l'adhésion — implémentée, non revue par le concepteur médical</w:t>
            </w:r>
          </w:p>
        </w:tc>
      </w:tr>
      <w:tr>
        <w:tc>
          <w:tcPr>
            <w:tcW w:type="dxa" w:w="700"/>
            <w:shd w:fill="FFEB9C" w:val="clear"/>
          </w:tcPr>
          <w:p>
            <w:pPr>
              <w:jc w:val="center"/>
            </w:pPr>
            <w:r>
              <w:rPr>
                <w:b/>
                <w:bCs/>
              </w:rPr>
              <w:t xml:space="preserve">✏️</w:t>
            </w:r>
          </w:p>
        </w:tc>
        <w:tc>
          <w:tcPr>
            <w:tcW w:type="dxa" w:w="2300"/>
          </w:tcPr>
          <w:p>
            <w:r>
              <w:t xml:space="preserve">Transversal</w:t>
            </w:r>
          </w:p>
        </w:tc>
        <w:tc>
          <w:tcPr>
            <w:tcW w:type="dxa" w:w="6360"/>
          </w:tcPr>
          <w:p>
            <w:r>
              <w:t xml:space="preserve">Cadences des notifications — valeurs provisoires non cliniques, avis bienvenu</w:t>
            </w:r>
          </w:p>
        </w:tc>
      </w:tr>
      <w:tr>
        <w:tc>
          <w:tcPr>
            <w:tcW w:type="dxa" w:w="700"/>
            <w:shd w:fill="FFEB9C" w:val="clear"/>
          </w:tcPr>
          <w:p>
            <w:pPr>
              <w:jc w:val="center"/>
            </w:pPr>
            <w:r>
              <w:rPr>
                <w:b/>
                <w:bCs/>
              </w:rPr>
              <w:t xml:space="preserve">✏️</w:t>
            </w:r>
          </w:p>
        </w:tc>
        <w:tc>
          <w:tcPr>
            <w:tcW w:type="dxa" w:w="2300"/>
          </w:tcPr>
          <w:p>
            <w:r>
              <w:t xml:space="preserve">PR</w:t>
            </w:r>
          </w:p>
        </w:tc>
        <w:tc>
          <w:tcPr>
            <w:tcW w:type="dxa" w:w="6360"/>
          </w:tcPr>
          <w:p>
            <w:r>
              <w:t xml:space="preserve">Définition « poussée récente » — piste OMERACT ajoutée en référence</w:t>
            </w:r>
          </w:p>
        </w:tc>
      </w:tr>
      <w:tr>
        <w:tc>
          <w:tcPr>
            <w:tcW w:type="dxa" w:w="700"/>
            <w:shd w:fill="F2F2F2" w:val="clear"/>
          </w:tcPr>
          <w:p>
            <w:pPr>
              <w:jc w:val="center"/>
            </w:pPr>
            <w:r>
              <w:rPr>
                <w:b/>
                <w:bCs/>
              </w:rPr>
              <w:t xml:space="preserve">⏳</w:t>
            </w:r>
          </w:p>
        </w:tc>
        <w:tc>
          <w:tcPr>
            <w:tcW w:type="dxa" w:w="2300"/>
          </w:tcPr>
          <w:p>
            <w:r>
              <w:t xml:space="preserve">Transversal</w:t>
            </w:r>
          </w:p>
        </w:tc>
        <w:tc>
          <w:tcPr>
            <w:tcW w:type="dxa" w:w="6360"/>
          </w:tcPr>
          <w:p>
            <w:r>
              <w:t xml:space="preserve">Seuils exacts de douleur, critères de progression, critères d'arrêt</w:t>
            </w:r>
          </w:p>
        </w:tc>
      </w:tr>
      <w:tr>
        <w:tc>
          <w:tcPr>
            <w:tcW w:type="dxa" w:w="700"/>
            <w:shd w:fill="F2F2F2" w:val="clear"/>
          </w:tcPr>
          <w:p>
            <w:pPr>
              <w:jc w:val="center"/>
            </w:pPr>
            <w:r>
              <w:rPr>
                <w:b/>
                <w:bCs/>
              </w:rPr>
              <w:t xml:space="preserve">⏳</w:t>
            </w:r>
          </w:p>
        </w:tc>
        <w:tc>
          <w:tcPr>
            <w:tcW w:type="dxa" w:w="2300"/>
          </w:tcPr>
          <w:p>
            <w:r>
              <w:t xml:space="preserve">Transversal</w:t>
            </w:r>
          </w:p>
        </w:tc>
        <w:tc>
          <w:tcPr>
            <w:tcW w:type="dxa" w:w="6360"/>
          </w:tcPr>
          <w:p>
            <w:r>
              <w:t xml:space="preserve">Règles allow_program et contenu réel des programmes (FITT-VP)</w:t>
            </w:r>
          </w:p>
        </w:tc>
      </w:tr>
      <w:tr>
        <w:tc>
          <w:tcPr>
            <w:tcW w:type="dxa" w:w="700"/>
            <w:shd w:fill="F2F2F2" w:val="clear"/>
          </w:tcPr>
          <w:p>
            <w:pPr>
              <w:jc w:val="center"/>
            </w:pPr>
            <w:r>
              <w:rPr>
                <w:b/>
                <w:bCs/>
              </w:rPr>
              <w:t xml:space="preserve">⏳</w:t>
            </w:r>
          </w:p>
        </w:tc>
        <w:tc>
          <w:tcPr>
            <w:tcW w:type="dxa" w:w="2300"/>
          </w:tcPr>
          <w:p>
            <w:r>
              <w:t xml:space="preserve">Transversal</w:t>
            </w:r>
          </w:p>
        </w:tc>
        <w:tc>
          <w:tcPr>
            <w:tcW w:type="dxa" w:w="6360"/>
          </w:tcPr>
          <w:p>
            <w:r>
              <w:t xml:space="preserve">Intensités cibles, formulation des questions patient</w:t>
            </w:r>
          </w:p>
        </w:tc>
      </w:tr>
      <w:tr>
        <w:tc>
          <w:tcPr>
            <w:tcW w:type="dxa" w:w="700"/>
            <w:shd w:fill="F2F2F2" w:val="clear"/>
          </w:tcPr>
          <w:p>
            <w:pPr>
              <w:jc w:val="center"/>
            </w:pPr>
            <w:r>
              <w:rPr>
                <w:b/>
                <w:bCs/>
              </w:rPr>
              <w:t xml:space="preserve">⏳</w:t>
            </w:r>
          </w:p>
        </w:tc>
        <w:tc>
          <w:tcPr>
            <w:tcW w:type="dxa" w:w="2300"/>
          </w:tcPr>
          <w:p>
            <w:r>
              <w:t xml:space="preserve">Transversal</w:t>
            </w:r>
          </w:p>
        </w:tc>
        <w:tc>
          <w:tcPr>
            <w:tcW w:type="dxa" w:w="6360"/>
          </w:tcPr>
          <w:p>
            <w:r>
              <w:t xml:space="preserve">Découpage échauffement / principal / retour au calme</w:t>
            </w:r>
          </w:p>
        </w:tc>
      </w:tr>
      <w:tr>
        <w:tc>
          <w:tcPr>
            <w:tcW w:type="dxa" w:w="700"/>
            <w:shd w:fill="F2F2F2" w:val="clear"/>
          </w:tcPr>
          <w:p>
            <w:pPr>
              <w:jc w:val="center"/>
            </w:pPr>
            <w:r>
              <w:rPr>
                <w:b/>
                <w:bCs/>
              </w:rPr>
              <w:t xml:space="preserve">⏳</w:t>
            </w:r>
          </w:p>
        </w:tc>
        <w:tc>
          <w:tcPr>
            <w:tcW w:type="dxa" w:w="2300"/>
          </w:tcPr>
          <w:p>
            <w:r>
              <w:t xml:space="preserve">Transversal</w:t>
            </w:r>
          </w:p>
        </w:tc>
        <w:tc>
          <w:tcPr>
            <w:tcW w:type="dxa" w:w="6360"/>
          </w:tcPr>
          <w:p>
            <w:r>
              <w:t xml:space="preserve">Métrique de « capacité fonctionnelle », séance du jour planifiée</w:t>
            </w:r>
          </w:p>
        </w:tc>
      </w:tr>
      <w:tr>
        <w:tc>
          <w:tcPr>
            <w:tcW w:type="dxa" w:w="700"/>
            <w:shd w:fill="F2F2F2" w:val="clear"/>
          </w:tcPr>
          <w:p>
            <w:pPr>
              <w:jc w:val="center"/>
            </w:pPr>
            <w:r>
              <w:rPr>
                <w:b/>
                <w:bCs/>
              </w:rPr>
              <w:t xml:space="preserve">⏳</w:t>
            </w:r>
          </w:p>
        </w:tc>
        <w:tc>
          <w:tcPr>
            <w:tcW w:type="dxa" w:w="2300"/>
          </w:tcPr>
          <w:p>
            <w:r>
              <w:t xml:space="preserve">Lombalgie</w:t>
            </w:r>
          </w:p>
        </w:tc>
        <w:tc>
          <w:tcPr>
            <w:tcW w:type="dxa" w:w="6360"/>
          </w:tcPr>
          <w:p>
            <w:r>
              <w:t xml:space="preserve">Formulation patient-facing, critères lombalgie vs lombosciatique, seuil vert/orange</w:t>
            </w:r>
          </w:p>
        </w:tc>
      </w:tr>
      <w:tr>
        <w:tc>
          <w:tcPr>
            <w:tcW w:type="dxa" w:w="700"/>
            <w:shd w:fill="F2F2F2" w:val="clear"/>
          </w:tcPr>
          <w:p>
            <w:pPr>
              <w:jc w:val="center"/>
            </w:pPr>
            <w:r>
              <w:rPr>
                <w:b/>
                <w:bCs/>
              </w:rPr>
              <w:t xml:space="preserve">⏳</w:t>
            </w:r>
          </w:p>
        </w:tc>
        <w:tc>
          <w:tcPr>
            <w:tcW w:type="dxa" w:w="2300"/>
          </w:tcPr>
          <w:p>
            <w:r>
              <w:t xml:space="preserve">Arthrose genou/hanche</w:t>
            </w:r>
          </w:p>
        </w:tc>
        <w:tc>
          <w:tcPr>
            <w:tcW w:type="dxa" w:w="6360"/>
          </w:tcPr>
          <w:p>
            <w:r>
              <w:t xml:space="preserve">Seuils gradués vert/orange, délai post-chirurgie, critères prothèse de hanche</w:t>
            </w:r>
          </w:p>
        </w:tc>
      </w:tr>
      <w:tr>
        <w:tc>
          <w:tcPr>
            <w:tcW w:type="dxa" w:w="700"/>
            <w:shd w:fill="F2F2F2" w:val="clear"/>
          </w:tcPr>
          <w:p>
            <w:pPr>
              <w:jc w:val="center"/>
            </w:pPr>
            <w:r>
              <w:rPr>
                <w:b/>
                <w:bCs/>
              </w:rPr>
              <w:t xml:space="preserve">⏳</w:t>
            </w:r>
          </w:p>
        </w:tc>
        <w:tc>
          <w:tcPr>
            <w:tcW w:type="dxa" w:w="2300"/>
          </w:tcPr>
          <w:p>
            <w:r>
              <w:t xml:space="preserve">PR</w:t>
            </w:r>
          </w:p>
        </w:tc>
        <w:tc>
          <w:tcPr>
            <w:tcW w:type="dxa" w:w="6360"/>
          </w:tcPr>
          <w:p>
            <w:r>
              <w:t xml:space="preserve">Comorbidités à surveiller, confirmation absence d'impact sur le traitement de fond</w:t>
            </w:r>
          </w:p>
        </w:tc>
      </w:tr>
      <w:tr>
        <w:tc>
          <w:tcPr>
            <w:tcW w:type="dxa" w:w="700"/>
            <w:shd w:fill="F2F2F2" w:val="clear"/>
          </w:tcPr>
          <w:p>
            <w:pPr>
              <w:jc w:val="center"/>
            </w:pPr>
            <w:r>
              <w:rPr>
                <w:b/>
                <w:bCs/>
              </w:rPr>
              <w:t xml:space="preserve">⏳</w:t>
            </w:r>
          </w:p>
        </w:tc>
        <w:tc>
          <w:tcPr>
            <w:tcW w:type="dxa" w:w="2300"/>
          </w:tcPr>
          <w:p>
            <w:r>
              <w:t xml:space="preserve">Spondyloarthrite axiale</w:t>
            </w:r>
          </w:p>
        </w:tc>
        <w:tc>
          <w:tcPr>
            <w:tcW w:type="dxa" w:w="6360"/>
          </w:tcPr>
          <w:p>
            <w:r>
              <w:t xml:space="preserve">Critères tolérance à l'effort, symptômes périphériques</w:t>
            </w:r>
          </w:p>
        </w:tc>
      </w:tr>
      <w:tr>
        <w:tc>
          <w:tcPr>
            <w:tcW w:type="dxa" w:w="700"/>
            <w:shd w:fill="F2F2F2" w:val="clear"/>
          </w:tcPr>
          <w:p>
            <w:pPr>
              <w:jc w:val="center"/>
            </w:pPr>
            <w:r>
              <w:rPr>
                <w:b/>
                <w:bCs/>
              </w:rPr>
              <w:t xml:space="preserve">⏳</w:t>
            </w:r>
          </w:p>
        </w:tc>
        <w:tc>
          <w:tcPr>
            <w:tcW w:type="dxa" w:w="2300"/>
          </w:tcPr>
          <w:p>
            <w:r>
              <w:t xml:space="preserve">Ostéoporose</w:t>
            </w:r>
          </w:p>
        </w:tc>
        <w:tc>
          <w:tcPr>
            <w:tcW w:type="dxa" w:w="6360"/>
          </w:tcPr>
          <w:p>
            <w:r>
              <w:t xml:space="preserve">Définition « risque de chute », mouvements contre-indiqués, message patient-facing</w:t>
            </w:r>
          </w:p>
        </w:tc>
      </w:tr>
    </w:tbl>
    <w:p>
      <w:pPr>
        <w:spacing w:after="240"/>
      </w:pPr>
    </w:p>
    <w:p>
      <w:pPr>
        <w:pStyle w:val="Heading1"/>
        <w:spacing w:after="160" w:before="360"/>
      </w:pPr>
      <w:r>
        <w:t xml:space="preserve">2. Déjà validé (✅) — rien à faire</w:t>
      </w:r>
    </w:p>
    <w:p>
      <w:pPr>
        <w:pStyle w:val="ListParagraph"/>
        <w:numPr>
          <w:ilvl w:val="0"/>
          <w:numId w:val="2"/>
        </w:numPr>
        <w:spacing w:after="80"/>
      </w:pPr>
      <w:r>
        <w:t xml:space="preserve">Ostéoporose : une fracture récente bloque tout programme automatique (§21, Cas 4 du §56) — implémenté tel quel depuis le Sprint 3.</w:t>
      </w:r>
    </w:p>
    <w:p>
      <w:pPr>
        <w:pStyle w:val="ListParagraph"/>
        <w:numPr>
          <w:ilvl w:val="0"/>
          <w:numId w:val="2"/>
        </w:numPr>
        <w:spacing w:after="80"/>
      </w:pPr>
      <w:r>
        <w:t xml:space="preserve">Lombalgie : la liste des 11 red flags du §16 est reprise telle quelle depuis le Sprint 3.</w:t>
      </w:r>
    </w:p>
    <w:p>
      <w:pPr>
        <w:pStyle w:val="Heading1"/>
        <w:spacing w:after="160" w:before="360"/>
      </w:pPr>
      <w:r>
        <w:t xml:space="preserve">3. Prêt à activer en un clic depuis /admin/regles-cliniques</w:t>
      </w:r>
    </w:p>
    <w:p>
      <w:pPr>
        <w:spacing w:after="140"/>
      </w:pPr>
      <w:r>
        <w:t xml:space="preserve">Quatre règles de sécurité ont été proposées par l'équipe technique à partir de littérature scientifique vérifiée (DOI contrôlés), puis insérées en base à l'état « inactive » — elles n'ont aujourd'hui STRICTEMENT AUCUN effet sur l'application tant qu'elles ne sont pas relues et activées. Il suffit d'un clic dans l'espace administrateur pour chacune, après votre relecture :</w:t>
      </w:r>
    </w:p>
    <w:p>
      <w:pPr>
        <w:pStyle w:val="Heading2"/>
        <w:spacing w:after="120" w:before="280"/>
      </w:pPr>
      <w:r>
        <w:t xml:space="preserve">Arthrose du genou, arthrose de la hanche, polyarthrite rhumatoïde</w:t>
      </w:r>
    </w:p>
    <w:p>
      <w:pPr>
        <w:spacing w:after="140"/>
      </w:pPr>
      <w:r>
        <w:rPr>
          <w:b/>
          <w:bCs/>
          <w:sz w:val="20"/>
          <w:szCs w:val="20"/>
        </w:rPr>
        <w:t xml:space="preserve">Source : Coakley et al. 2006 (BSR/BHPR/BOA/RCGP/BSAC, Rheumatology, DOI 10.1093/rheumatology/kel163a).</w:t>
      </w:r>
    </w:p>
    <w:p>
      <w:pPr>
        <w:spacing w:after="140"/>
      </w:pPr>
      <w:r>
        <w:t xml:space="preserve">Condition proposée : articulation chaude ET gonflée, OU fièvre associée → orientation médicale urgente (suspicion d'arthrite septique). Message actuel (à valider ou reformuler) : « une articulation chaude et gonflée, ou une fièvre associée, doit être évaluée en urgence par un professionnel de santé avant de poursuivre. »</w:t>
      </w:r>
    </w:p>
    <w:p>
      <w:pPr>
        <w:pStyle w:val="Heading2"/>
        <w:spacing w:after="120" w:before="280"/>
      </w:pPr>
      <w:r>
        <w:t xml:space="preserve">Spondyloarthrite axiale</w:t>
      </w:r>
    </w:p>
    <w:p>
      <w:pPr>
        <w:spacing w:after="140"/>
      </w:pPr>
      <w:r>
        <w:rPr>
          <w:b/>
          <w:bCs/>
          <w:sz w:val="20"/>
          <w:szCs w:val="20"/>
        </w:rPr>
        <w:t xml:space="preserve">Source : Shah et al. 2019 (RSNA, RadioGraphics, DOI 10.1148/rg.2019180125).</w:t>
      </w:r>
    </w:p>
    <w:p>
      <w:pPr>
        <w:spacing w:after="140"/>
      </w:pPr>
      <w:r>
        <w:t xml:space="preserve">Condition proposée : traumatisme récent, même mineur → orientation médicale (risque de fracture rachidienne sur rachis ankylosé). Message actuel (à valider ou reformuler) : « chez une personne atteinte de spondyloarthrite axiale, un traumatisme même mineur peut provoquer une fracture instable du rachis en cas d'ankylose. Une évaluation médicale (imagerie) est recommandée avant de reprendre tout exercice. »</w:t>
      </w:r>
    </w:p>
    <w:p>
      <w:pPr>
        <w:spacing w:after="200"/>
      </w:pPr>
      <w:r>
        <w:rPr>
          <w:i/>
          <w:iCs/>
          <w:color w:val="555555"/>
          <w:sz w:val="20"/>
          <w:szCs w:val="20"/>
        </w:rPr>
        <w:t xml:space="preserve">Ces deux sources ne couvrent que des signaux d'ALERTE (rouge). Elles ne fournissent aucun seuil gradué vert/orange — cela reste un jugement clinique propre à chaque patient, à renseigner séparément (voir section 5).</w:t>
      </w:r>
    </w:p>
    <w:p>
      <w:pPr>
        <w:pStyle w:val="Heading1"/>
        <w:spacing w:after="160" w:before="360"/>
      </w:pPr>
      <w:r>
        <w:t xml:space="preserve">4. Brouillons sourcés en attente de relecture</w:t>
      </w:r>
    </w:p>
    <w:p>
      <w:pPr>
        <w:pStyle w:val="Heading2"/>
        <w:spacing w:after="120" w:before="280"/>
      </w:pPr>
      <w:r>
        <w:t xml:space="preserve">4.1 Exercices (gabarit_exercices_apa_rhumato.xlsx)</w:t>
      </w:r>
    </w:p>
    <w:p>
      <w:pPr>
        <w:spacing w:after="140"/>
      </w:pPr>
      <w:r>
        <w:t xml:space="preserve">10 exercices sur 33 lignes disponibles sont aujourd'hui remplis en brouillon, avec sources citées, dans l'onglet « Exercices ». Le détail de ce qui a été effectivement vérifié dans chaque référence figure dans l'onglet « Journal de recherche » du même fichier :</w:t>
      </w:r>
    </w:p>
    <w:p>
      <w:pPr>
        <w:pStyle w:val="ListParagraph"/>
        <w:numPr>
          <w:ilvl w:val="0"/>
          <w:numId w:val="2"/>
        </w:numPr>
        <w:spacing w:after="80"/>
      </w:pPr>
      <w:r>
        <w:t xml:space="preserve">EULAR 2025/2026 (Rausch Osthoff et al., texte intégral que vous avez transmis) : couvre arthrose et rhumatismes inflammatoires (PR) — absence de contre-indication spécifique à l'activité physique elle-même, règle des 24h pour ajuster l'intensité, progression sur 4 à 6 semaines. Ne fournit PAS de chiffres FITT-VP précis ni de seuil de douleur absolu.</w:t>
      </w:r>
    </w:p>
    <w:p>
      <w:pPr>
        <w:pStyle w:val="ListParagraph"/>
        <w:numPr>
          <w:ilvl w:val="0"/>
          <w:numId w:val="2"/>
        </w:numPr>
        <w:spacing w:after="80"/>
      </w:pPr>
      <w:r>
        <w:t xml:space="preserve">JOSPT 2021 (George et al., texte intégral que vous avez transmis) : lombalgie chronique — recommandation forte pour l'exercice, consigne de ne pas renforcer la peur du mouvement. Ne fournit PAS de contre-indications spécifiques, de critère d'arrêt objectif, ni de tableau de dosage FITT.</w:t>
      </w:r>
    </w:p>
    <w:p>
      <w:pPr>
        <w:pStyle w:val="ListParagraph"/>
        <w:numPr>
          <w:ilvl w:val="0"/>
          <w:numId w:val="2"/>
        </w:numPr>
        <w:spacing w:after="80"/>
      </w:pPr>
      <w:r>
        <w:t xml:space="preserve">ACR/Arthritis Foundation 2019 (arthrose) et ACR 2022 (PR) : consultés en résumé seulement — recommandations générales par type d'exercice, mais aucune contre-indication, seuil ou critère de progression n'y figure (vide de contenu constaté, pas un accès bloqué).</w:t>
      </w:r>
    </w:p>
    <w:p>
      <w:pPr>
        <w:pStyle w:val="ListParagraph"/>
        <w:numPr>
          <w:ilvl w:val="0"/>
          <w:numId w:val="2"/>
        </w:numPr>
        <w:spacing w:after="80"/>
      </w:pPr>
      <w:r>
        <w:t xml:space="preserve">LeBoff et al. 2022 (ostéoporose) : abstract consulté — orientation « éviter la flexion importante du tronc, favoriser l'extension du rachis », mais sans seuil précis en degrés ; le texte intégral reste à vérifier avant toute validation.</w:t>
      </w:r>
    </w:p>
    <w:p>
      <w:pPr>
        <w:pStyle w:val="ListParagraph"/>
        <w:numPr>
          <w:ilvl w:val="0"/>
          <w:numId w:val="2"/>
        </w:numPr>
        <w:spacing w:after="80"/>
      </w:pPr>
      <w:r>
        <w:t xml:space="preserve">Non vérifiées à ce jour : ASAS-EULAR 2022 (spondyloarthrite axiale, paywall), Lancet 2021 (lombalgie, non consultée), Hoffmann et al. 2023 (ostéoporose — intensité/progression, bloquée par un contrôle anti-robot). Cette dernière est signalée comme prioritaire : elle porte spécifiquement sur les deux champs qui manquent le plus en ostéoporose.</w:t>
      </w:r>
    </w:p>
    <w:p>
      <w:pPr>
        <w:spacing w:after="200"/>
      </w:pPr>
      <w:r>
        <w:rPr>
          <w:i/>
          <w:iCs/>
          <w:color w:val="555555"/>
          <w:sz w:val="20"/>
          <w:szCs w:val="20"/>
        </w:rPr>
        <w:t xml:space="preserve">Aucune ligne n'est aujourd'hui à l'état « validated » — tout ce remplissage reste un brouillon sourcé, dans l'attente de votre relecture ligne par ligne dans le fichier Excel.</w:t>
      </w:r>
    </w:p>
    <w:p>
      <w:pPr>
        <w:pStyle w:val="Heading1"/>
        <w:spacing w:after="160" w:before="360"/>
      </w:pPr>
      <w:r>
        <w:t xml:space="preserve">5. Gabarits à remplir — votre jugement clinique nécessaire</w:t>
      </w:r>
    </w:p>
    <w:p>
      <w:pPr>
        <w:spacing w:after="140"/>
      </w:pPr>
      <w:r>
        <w:t xml:space="preserve">Le fichier gabarit_seuils_cliniques.xlsx contient un onglet vide, prêt à remplir, pour chacun des quatre modules suivants (les seuils gradués vert/orange n'ont, par nature, aucune source publiée unique à citer — c'est votre jugement clinique de rhumatologue qui les définit) :</w:t>
      </w:r>
    </w:p>
    <w:p>
      <w:pPr>
        <w:pStyle w:val="ListParagraph"/>
        <w:numPr>
          <w:ilvl w:val="0"/>
          <w:numId w:val="2"/>
        </w:numPr>
        <w:spacing w:after="80"/>
      </w:pPr>
      <w:r>
        <w:t xml:space="preserve">Arthrose du genou — seuils douleur / gonflement / instabilité</w:t>
      </w:r>
    </w:p>
    <w:p>
      <w:pPr>
        <w:pStyle w:val="ListParagraph"/>
        <w:numPr>
          <w:ilvl w:val="0"/>
          <w:numId w:val="2"/>
        </w:numPr>
        <w:spacing w:after="80"/>
      </w:pPr>
      <w:r>
        <w:t xml:space="preserve">Arthrose de la hanche — seuils limitation de la marche / mobilité</w:t>
      </w:r>
    </w:p>
    <w:p>
      <w:pPr>
        <w:pStyle w:val="ListParagraph"/>
        <w:numPr>
          <w:ilvl w:val="0"/>
          <w:numId w:val="2"/>
        </w:numPr>
        <w:spacing w:after="80"/>
      </w:pPr>
      <w:r>
        <w:t xml:space="preserve">Polyarthrite rhumatoïde — seuils propres au module</w:t>
      </w:r>
    </w:p>
    <w:p>
      <w:pPr>
        <w:pStyle w:val="ListParagraph"/>
        <w:numPr>
          <w:ilvl w:val="0"/>
          <w:numId w:val="2"/>
        </w:numPr>
        <w:spacing w:after="80"/>
      </w:pPr>
      <w:r>
        <w:t xml:space="preserve">Spondyloarthrite axiale — seuils propres au module</w:t>
      </w:r>
    </w:p>
    <w:p>
      <w:pPr>
        <w:spacing w:after="140"/>
      </w:pPr>
      <w:r>
        <w:t xml:space="preserve">Une fois rempli, le script infra/db/seed/tools/convert_thresholds_to_rules.py convertit directement ce fichier en règles cliniques prêtes à insérer — aucune écriture de code n'est nécessaire de votre côté.</w:t>
      </w:r>
    </w:p>
    <w:p>
      <w:pPr>
        <w:pStyle w:val="Heading1"/>
        <w:spacing w:after="160" w:before="360"/>
      </w:pPr>
      <w:r>
        <w:t xml:space="preserve">6. Décisions cliniques originales encore ouvertes (⏳)</w:t>
      </w:r>
    </w:p>
    <w:p>
      <w:pPr>
        <w:spacing w:after="140"/>
      </w:pPr>
      <w:r>
        <w:t xml:space="preserve">Ce sont les paramètres pour lesquels aucune proposition n'existe encore, faute de source publiée directement exploitable ou parce qu'il s'agit d'un choix de conception propre à ce programme. Regroupés par thème :</w:t>
      </w:r>
    </w:p>
    <w:p>
      <w:pPr>
        <w:pStyle w:val="Heading2"/>
        <w:spacing w:after="120" w:before="280"/>
      </w:pPr>
      <w:r>
        <w:t xml:space="preserve">Transversal</w:t>
      </w:r>
    </w:p>
    <w:p>
      <w:pPr>
        <w:pStyle w:val="ListParagraph"/>
        <w:numPr>
          <w:ilvl w:val="0"/>
          <w:numId w:val="2"/>
        </w:numPr>
        <w:spacing w:after="80"/>
      </w:pPr>
      <w:r>
        <w:t xml:space="preserve">Seuils exacts de douleur, critères précis de progression, critères d'arrêt</w:t>
      </w:r>
    </w:p>
    <w:p>
      <w:pPr>
        <w:pStyle w:val="ListParagraph"/>
        <w:numPr>
          <w:ilvl w:val="0"/>
          <w:numId w:val="2"/>
        </w:numPr>
        <w:spacing w:after="80"/>
      </w:pPr>
      <w:r>
        <w:t xml:space="preserve">Règles allow_program (quel programme pour quelle combinaison pathologie / niveau / screening / douleur)</w:t>
      </w:r>
    </w:p>
    <w:p>
      <w:pPr>
        <w:pStyle w:val="ListParagraph"/>
        <w:numPr>
          <w:ilvl w:val="0"/>
          <w:numId w:val="2"/>
        </w:numPr>
        <w:spacing w:after="80"/>
      </w:pPr>
      <w:r>
        <w:t xml:space="preserve">Contenu réel des programmes eux-mêmes (composants, FITT-VP complet, règles de progression/régression)</w:t>
      </w:r>
    </w:p>
    <w:p>
      <w:pPr>
        <w:pStyle w:val="ListParagraph"/>
        <w:numPr>
          <w:ilvl w:val="0"/>
          <w:numId w:val="2"/>
        </w:numPr>
        <w:spacing w:after="80"/>
      </w:pPr>
      <w:r>
        <w:t xml:space="preserve">Intensités cibles</w:t>
      </w:r>
    </w:p>
    <w:p>
      <w:pPr>
        <w:pStyle w:val="ListParagraph"/>
        <w:numPr>
          <w:ilvl w:val="0"/>
          <w:numId w:val="2"/>
        </w:numPr>
        <w:spacing w:after="80"/>
      </w:pPr>
      <w:r>
        <w:t xml:space="preserve">Formulation exacte des questions patient (ton, tournure)</w:t>
      </w:r>
    </w:p>
    <w:p>
      <w:pPr>
        <w:pStyle w:val="ListParagraph"/>
        <w:numPr>
          <w:ilvl w:val="0"/>
          <w:numId w:val="2"/>
        </w:numPr>
        <w:spacing w:after="80"/>
      </w:pPr>
      <w:r>
        <w:t xml:space="preserve">Découpage des exercices en échauffement / principal / retour au calme (§28)</w:t>
      </w:r>
    </w:p>
    <w:p>
      <w:pPr>
        <w:pStyle w:val="ListParagraph"/>
        <w:numPr>
          <w:ilvl w:val="0"/>
          <w:numId w:val="2"/>
        </w:numPr>
        <w:spacing w:after="80"/>
      </w:pPr>
      <w:r>
        <w:t xml:space="preserve">Critères de progression/régression automatiques entre séances</w:t>
      </w:r>
    </w:p>
    <w:p>
      <w:pPr>
        <w:pStyle w:val="ListParagraph"/>
        <w:numPr>
          <w:ilvl w:val="0"/>
          <w:numId w:val="2"/>
        </w:numPr>
        <w:spacing w:after="80"/>
      </w:pPr>
      <w:r>
        <w:t xml:space="preserve">Métrique de « capacité fonctionnelle » (§33) — aucun test/échelle défini à ce jour</w:t>
      </w:r>
    </w:p>
    <w:p>
      <w:pPr>
        <w:pStyle w:val="ListParagraph"/>
        <w:numPr>
          <w:ilvl w:val="0"/>
          <w:numId w:val="2"/>
        </w:numPr>
        <w:spacing w:after="80"/>
      </w:pPr>
      <w:r>
        <w:t xml:space="preserve">Moteur de planification de la « séance du jour » (§33 « Aujourd'hui »)</w:t>
      </w:r>
    </w:p>
    <w:p>
      <w:pPr>
        <w:pStyle w:val="Heading2"/>
        <w:spacing w:after="120" w:before="280"/>
      </w:pPr>
      <w:r>
        <w:t xml:space="preserve">Lombalgie</w:t>
      </w:r>
    </w:p>
    <w:p>
      <w:pPr>
        <w:pStyle w:val="ListParagraph"/>
        <w:numPr>
          <w:ilvl w:val="0"/>
          <w:numId w:val="2"/>
        </w:numPr>
        <w:spacing w:after="80"/>
      </w:pPr>
      <w:r>
        <w:t xml:space="preserve">Formulation patient-facing de chaque question de dépistage</w:t>
      </w:r>
    </w:p>
    <w:p>
      <w:pPr>
        <w:pStyle w:val="ListParagraph"/>
        <w:numPr>
          <w:ilvl w:val="0"/>
          <w:numId w:val="2"/>
        </w:numPr>
        <w:spacing w:after="80"/>
      </w:pPr>
      <w:r>
        <w:t xml:space="preserve">Critères de distinction lombalgie vs lombosciatique</w:t>
      </w:r>
    </w:p>
    <w:p>
      <w:pPr>
        <w:pStyle w:val="ListParagraph"/>
        <w:numPr>
          <w:ilvl w:val="0"/>
          <w:numId w:val="2"/>
        </w:numPr>
        <w:spacing w:after="80"/>
      </w:pPr>
      <w:r>
        <w:t xml:space="preserve">Seuil vert/orange en l'absence de red flag</w:t>
      </w:r>
    </w:p>
    <w:p>
      <w:pPr>
        <w:pStyle w:val="Heading2"/>
        <w:spacing w:after="120" w:before="280"/>
      </w:pPr>
      <w:r>
        <w:t xml:space="preserve">Arthrose du genou / de la hanche</w:t>
      </w:r>
    </w:p>
    <w:p>
      <w:pPr>
        <w:pStyle w:val="ListParagraph"/>
        <w:numPr>
          <w:ilvl w:val="0"/>
          <w:numId w:val="2"/>
        </w:numPr>
        <w:spacing w:after="80"/>
      </w:pPr>
      <w:r>
        <w:t xml:space="preserve">Délai post-chirurgie ou post-traumatisme avant reprise</w:t>
      </w:r>
    </w:p>
    <w:p>
      <w:pPr>
        <w:pStyle w:val="ListParagraph"/>
        <w:numPr>
          <w:ilvl w:val="0"/>
          <w:numId w:val="2"/>
        </w:numPr>
        <w:spacing w:after="80"/>
      </w:pPr>
      <w:r>
        <w:t xml:space="preserve">Critères de sécurité spécifiques à une prothèse de hanche</w:t>
      </w:r>
    </w:p>
    <w:p>
      <w:pPr>
        <w:pStyle w:val="Heading2"/>
        <w:spacing w:after="120" w:before="280"/>
      </w:pPr>
      <w:r>
        <w:t xml:space="preserve">Polyarthrite rhumatoïde</w:t>
      </w:r>
    </w:p>
    <w:p>
      <w:pPr>
        <w:pStyle w:val="ListParagraph"/>
        <w:numPr>
          <w:ilvl w:val="0"/>
          <w:numId w:val="2"/>
        </w:numPr>
        <w:spacing w:after="80"/>
      </w:pPr>
      <w:r>
        <w:t xml:space="preserve">Comorbidités à surveiller</w:t>
      </w:r>
    </w:p>
    <w:p>
      <w:pPr>
        <w:pStyle w:val="ListParagraph"/>
        <w:numPr>
          <w:ilvl w:val="0"/>
          <w:numId w:val="2"/>
        </w:numPr>
        <w:spacing w:after="80"/>
      </w:pPr>
      <w:r>
        <w:t xml:space="preserve">Confirmation explicite : pas d'impact du programme sur le traitement de fond</w:t>
      </w:r>
    </w:p>
    <w:p>
      <w:pPr>
        <w:pStyle w:val="Heading2"/>
        <w:spacing w:after="120" w:before="280"/>
      </w:pPr>
      <w:r>
        <w:t xml:space="preserve">Spondyloarthrite axiale</w:t>
      </w:r>
    </w:p>
    <w:p>
      <w:pPr>
        <w:pStyle w:val="ListParagraph"/>
        <w:numPr>
          <w:ilvl w:val="0"/>
          <w:numId w:val="2"/>
        </w:numPr>
        <w:spacing w:after="80"/>
      </w:pPr>
      <w:r>
        <w:t xml:space="preserve">Critères de tolérance à l'effort / mobilité</w:t>
      </w:r>
    </w:p>
    <w:p>
      <w:pPr>
        <w:pStyle w:val="ListParagraph"/>
        <w:numPr>
          <w:ilvl w:val="0"/>
          <w:numId w:val="2"/>
        </w:numPr>
        <w:spacing w:after="80"/>
      </w:pPr>
      <w:r>
        <w:t xml:space="preserve">Prise en compte des symptômes périphériques (hors atteinte axiale)</w:t>
      </w:r>
    </w:p>
    <w:p>
      <w:pPr>
        <w:pStyle w:val="Heading2"/>
        <w:spacing w:after="120" w:before="280"/>
      </w:pPr>
      <w:r>
        <w:t xml:space="preserve">Ostéoporose</w:t>
      </w:r>
    </w:p>
    <w:p>
      <w:pPr>
        <w:pStyle w:val="ListParagraph"/>
        <w:numPr>
          <w:ilvl w:val="0"/>
          <w:numId w:val="2"/>
        </w:numPr>
        <w:spacing w:after="80"/>
      </w:pPr>
      <w:r>
        <w:t xml:space="preserve">Définition du « risque de chute »</w:t>
      </w:r>
    </w:p>
    <w:p>
      <w:pPr>
        <w:pStyle w:val="ListParagraph"/>
        <w:numPr>
          <w:ilvl w:val="0"/>
          <w:numId w:val="2"/>
        </w:numPr>
        <w:spacing w:after="80"/>
      </w:pPr>
      <w:r>
        <w:t xml:space="preserve">Liste des mouvements contre-indiqués (risque fracturaire)</w:t>
      </w:r>
    </w:p>
    <w:p>
      <w:pPr>
        <w:pStyle w:val="ListParagraph"/>
        <w:numPr>
          <w:ilvl w:val="0"/>
          <w:numId w:val="2"/>
        </w:numPr>
        <w:spacing w:after="80"/>
      </w:pPr>
      <w:r>
        <w:t xml:space="preserve">Message patient-facing en cas de fracture récente (un texte provisoire non clinique est en place, à valider ou remplacer)</w:t>
      </w:r>
    </w:p>
    <w:p>
      <w:pPr>
        <w:pStyle w:val="Heading1"/>
        <w:spacing w:after="160" w:before="360"/>
      </w:pPr>
      <w:r>
        <w:t xml:space="preserve">7. Comment procéder concrètement</w:t>
      </w:r>
    </w:p>
    <w:p>
      <w:pPr>
        <w:pStyle w:val="ListParagraph"/>
        <w:numPr>
          <w:ilvl w:val="0"/>
          <w:numId w:val="2"/>
        </w:numPr>
        <w:spacing w:after="80"/>
      </w:pPr>
      <w:r>
        <w:t xml:space="preserve">Pour les red flags déjà proposées (section 3) : les relire, ajuster le message si besoin, puis les activer d'un clic dans /admin/regles-cliniques.</w:t>
      </w:r>
    </w:p>
    <w:p>
      <w:pPr>
        <w:pStyle w:val="ListParagraph"/>
        <w:numPr>
          <w:ilvl w:val="0"/>
          <w:numId w:val="2"/>
        </w:numPr>
        <w:spacing w:after="80"/>
      </w:pPr>
      <w:r>
        <w:t xml:space="preserve">Pour les exercices en brouillon (section 4.1) : relire ligne par ligne dans gabarit_exercices_apa_rhumato.xlsx, corriger si besoin, puis réimporter avec import_exercises.py — ou saisir directement dans /admin/exercices.</w:t>
      </w:r>
    </w:p>
    <w:p>
      <w:pPr>
        <w:pStyle w:val="ListParagraph"/>
        <w:numPr>
          <w:ilvl w:val="0"/>
          <w:numId w:val="2"/>
        </w:numPr>
        <w:spacing w:after="80"/>
      </w:pPr>
      <w:r>
        <w:t xml:space="preserve">Pour les seuils gradués (section 5) : remplir gabarit_seuils_cliniques.xlsx à votre rythme, module par module — aucune urgence à tout faire d'un coup.</w:t>
      </w:r>
    </w:p>
    <w:p>
      <w:pPr>
        <w:pStyle w:val="ListParagraph"/>
        <w:numPr>
          <w:ilvl w:val="0"/>
          <w:numId w:val="2"/>
        </w:numPr>
        <w:spacing w:after="80"/>
      </w:pPr>
      <w:r>
        <w:t xml:space="preserve">Pour les décisions ouvertes (section 6) : chaque paramètre peut être discuté et implémenté sprint par sprint, dans n'importe quel ordre — le moteur de règles (Sprint 4) et l'espace administrateur (Sprint 13) sont déjà prêts à les recevoir sans nouveau développement technique.</w:t>
      </w:r>
    </w:p>
    <w:p>
      <w:pPr>
        <w:spacing w:after="200"/>
      </w:pPr>
      <w:r>
        <w:rPr>
          <w:i/>
          <w:iCs/>
          <w:color w:val="555555"/>
          <w:sz w:val="20"/>
          <w:szCs w:val="20"/>
        </w:rPr>
        <w:t xml:space="preserve">Ce document est une photographie au 20 août 2026. La source vivante et toujours à jour reste docs/MEDICAL_VALIDATION_NEEDED.md dans le dépôt du projet.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2026-08-20T09:40:30.549Z</dcterms:created>
  <dcterms:modified xsi:type="dcterms:W3CDTF">2026-08-20T09:40:30.561Z</dcterms:modified>
</cp:coreProperties>
</file>

<file path=docProps/custom.xml><?xml version="1.0" encoding="utf-8"?>
<Properties xmlns="http://schemas.openxmlformats.org/officeDocument/2006/custom-properties" xmlns:vt="http://schemas.openxmlformats.org/officeDocument/2006/docPropsVTypes"/>
</file>