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Structure de séance et capacité fonctionnelle</w:t>
      </w:r>
    </w:p>
    <w:p>
      <w:pPr>
        <w:spacing w:after="240"/>
      </w:pPr>
      <w:r>
        <w:rPr>
          <w:i/>
          <w:iCs/>
        </w:rPr>
        <w:t xml:space="preserve">2 questions — 30/08/2026</w:t>
      </w:r>
    </w:p>
    <w:p>
      <w:pPr>
        <w:spacing w:after="160"/>
      </w:pPr>
      <w:r>
        <w:t xml:space="preserve">Deux chantiers de la feuille de route ont été avancés en parallèle de vos deux documents en attente (relecture des messages Q2-Q6, règles de progression/régression) : la structure de séance en 3 phases (réf. B8) et la capacité fonctionnelle (réf. B10). Dans les deux cas, l'infrastructure technique est prête et testée (368 tests au vert), mais 2 points précis restent à trancher avec vous avant de pouvoir aller plus loin sans inventer de contenu clinique.</w:t>
      </w:r>
    </w:p>
    <w:p>
      <w:pPr>
        <w:pStyle w:val="Heading1"/>
        <w:spacing w:after="160" w:before="360"/>
      </w:pPr>
      <w:r>
        <w:rPr>
          <w:b/>
          <w:bCs/>
        </w:rPr>
        <w:t xml:space="preserve">Question 1 — Classement des 8 exercices existants en échauffement / principal / retour au calme</w:t>
      </w:r>
    </w:p>
    <w:p>
      <w:pPr>
        <w:spacing w:after="160"/>
      </w:pPr>
      <w:r>
        <w:t xml:space="preserve">Le champ qui permet de classer un exercice dans l'une des 3 phases (réf. B8) existe désormais dans exercise_library, mais reste vide pour les 8 exercices déjà validés — les classer moi-même serait un jugement clinique que je ne dois pas deviner (§57, §59, §78).</w:t>
      </w:r>
    </w:p>
    <w:p>
      <w:pPr>
        <w:spacing w:after="160"/>
      </w:pPr>
      <w:r>
        <w:t xml:space="preserve">Constat en préparant cette question : les 8 exercices actuels sont tous de catégorie « Aérobique » ou « Renforcement » — aucun n'est un exercice d'étirement/mobilité douce typiquement utilisé en échauffement ou en retour au calme. Je propose donc, par défaut, de classer les 8 en « Partie principale », le temps que des exercices dédiés à l'échauffement et au retour au calme soient ajoutés à la bibliothèque (un futur chantier à part). Vous pouvez bien sûr corriger tel ou tel exercice si vous le jugez adapté à une autre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tblHeader/>
        </w:trPr>
        <w:tc>
          <w:tcPr>
            <w:tcW w:type="dxa" w:w="3800"/>
            <w:shd w:fill="D9D9D9" w:val="clear"/>
            <w:tcMar>
              <w:top w:type="dxa" w:w="80"/>
              <w:left w:type="dxa" w:w="100"/>
              <w:bottom w:type="dxa" w:w="80"/>
              <w:right w:type="dxa" w:w="100"/>
            </w:tcMar>
            <w:vAlign w:val="center"/>
          </w:tcPr>
          <w:p>
            <w:r>
              <w:rPr>
                <w:b/>
                <w:bCs/>
              </w:rPr>
              <w:t xml:space="preserve">Exercice</w:t>
            </w:r>
          </w:p>
        </w:tc>
        <w:tc>
          <w:tcPr>
            <w:tcW w:type="dxa" w:w="1700"/>
            <w:shd w:fill="D9D9D9" w:val="clear"/>
            <w:tcMar>
              <w:top w:type="dxa" w:w="80"/>
              <w:left w:type="dxa" w:w="100"/>
              <w:bottom w:type="dxa" w:w="80"/>
              <w:right w:type="dxa" w:w="100"/>
            </w:tcMar>
            <w:vAlign w:val="center"/>
          </w:tcPr>
          <w:p>
            <w:r>
              <w:rPr>
                <w:b/>
                <w:bCs/>
              </w:rPr>
              <w:t xml:space="preserve">Catégorie</w:t>
            </w:r>
          </w:p>
        </w:tc>
        <w:tc>
          <w:tcPr>
            <w:tcW w:type="dxa" w:w="1700"/>
            <w:shd w:fill="D9D9D9" w:val="clear"/>
            <w:tcMar>
              <w:top w:type="dxa" w:w="80"/>
              <w:left w:type="dxa" w:w="100"/>
              <w:bottom w:type="dxa" w:w="80"/>
              <w:right w:type="dxa" w:w="100"/>
            </w:tcMar>
            <w:vAlign w:val="center"/>
          </w:tcPr>
          <w:p>
            <w:r>
              <w:rPr>
                <w:b/>
                <w:bCs/>
              </w:rPr>
              <w:t xml:space="preserve">Proposition</w:t>
            </w:r>
          </w:p>
        </w:tc>
        <w:tc>
          <w:tcPr>
            <w:tcW w:type="dxa" w:w="1826"/>
            <w:shd w:fill="D9D9D9" w:val="clear"/>
            <w:tcMar>
              <w:top w:type="dxa" w:w="80"/>
              <w:left w:type="dxa" w:w="100"/>
              <w:bottom w:type="dxa" w:w="80"/>
              <w:right w:type="dxa" w:w="100"/>
            </w:tcMar>
            <w:vAlign w:val="center"/>
          </w:tcPr>
          <w:p>
            <w:r>
              <w:rPr>
                <w:b/>
                <w:bCs/>
              </w:rPr>
              <w:t xml:space="preserve">Votre choix</w:t>
            </w:r>
          </w:p>
        </w:tc>
      </w:tr>
      <w:tr>
        <w:tc>
          <w:tcPr>
            <w:tcW w:type="dxa" w:w="3800"/>
            <w:tcMar>
              <w:top w:type="dxa" w:w="80"/>
              <w:left w:type="dxa" w:w="100"/>
              <w:bottom w:type="dxa" w:w="80"/>
              <w:right w:type="dxa" w:w="100"/>
            </w:tcMar>
            <w:vAlign w:val="center"/>
          </w:tcPr>
          <w:p>
            <w:r>
              <w:rPr>
                <w:b w:val="false"/>
                <w:bCs w:val="false"/>
              </w:rPr>
              <w:t xml:space="preserve">Marche régulière adaptée (lombalgie)</w:t>
            </w:r>
          </w:p>
        </w:tc>
        <w:tc>
          <w:tcPr>
            <w:tcW w:type="dxa" w:w="1700"/>
            <w:tcMar>
              <w:top w:type="dxa" w:w="80"/>
              <w:left w:type="dxa" w:w="100"/>
              <w:bottom w:type="dxa" w:w="80"/>
              <w:right w:type="dxa" w:w="100"/>
            </w:tcMar>
            <w:vAlign w:val="center"/>
          </w:tcPr>
          <w:p>
            <w:r>
              <w:rPr>
                <w:b w:val="false"/>
                <w:bCs w:val="false"/>
              </w:rPr>
              <w:t xml:space="preserve">Aérobique</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r>
        <w:tc>
          <w:tcPr>
            <w:tcW w:type="dxa" w:w="3800"/>
            <w:tcMar>
              <w:top w:type="dxa" w:w="80"/>
              <w:left w:type="dxa" w:w="100"/>
              <w:bottom w:type="dxa" w:w="80"/>
              <w:right w:type="dxa" w:w="100"/>
            </w:tcMar>
            <w:vAlign w:val="center"/>
          </w:tcPr>
          <w:p>
            <w:r>
              <w:rPr>
                <w:b w:val="false"/>
                <w:bCs w:val="false"/>
              </w:rPr>
              <w:t xml:space="preserve">Marche adaptée (arthrose du genou/hanche)</w:t>
            </w:r>
          </w:p>
        </w:tc>
        <w:tc>
          <w:tcPr>
            <w:tcW w:type="dxa" w:w="1700"/>
            <w:tcMar>
              <w:top w:type="dxa" w:w="80"/>
              <w:left w:type="dxa" w:w="100"/>
              <w:bottom w:type="dxa" w:w="80"/>
              <w:right w:type="dxa" w:w="100"/>
            </w:tcMar>
            <w:vAlign w:val="center"/>
          </w:tcPr>
          <w:p>
            <w:r>
              <w:rPr>
                <w:b w:val="false"/>
                <w:bCs w:val="false"/>
              </w:rPr>
              <w:t xml:space="preserve">Aérobique</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r>
        <w:tc>
          <w:tcPr>
            <w:tcW w:type="dxa" w:w="3800"/>
            <w:tcMar>
              <w:top w:type="dxa" w:w="80"/>
              <w:left w:type="dxa" w:w="100"/>
              <w:bottom w:type="dxa" w:w="80"/>
              <w:right w:type="dxa" w:w="100"/>
            </w:tcMar>
            <w:vAlign w:val="center"/>
          </w:tcPr>
          <w:p>
            <w:r>
              <w:rPr>
                <w:b w:val="false"/>
                <w:bCs w:val="false"/>
              </w:rPr>
              <w:t xml:space="preserve">Renforcement musculaire des membres inférieurs (arthrose)</w:t>
            </w:r>
          </w:p>
        </w:tc>
        <w:tc>
          <w:tcPr>
            <w:tcW w:type="dxa" w:w="1700"/>
            <w:tcMar>
              <w:top w:type="dxa" w:w="80"/>
              <w:left w:type="dxa" w:w="100"/>
              <w:bottom w:type="dxa" w:w="80"/>
              <w:right w:type="dxa" w:w="100"/>
            </w:tcMar>
            <w:vAlign w:val="center"/>
          </w:tcPr>
          <w:p>
            <w:r>
              <w:rPr>
                <w:b w:val="false"/>
                <w:bCs w:val="false"/>
              </w:rPr>
              <w:t xml:space="preserve">Renforcement</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r>
        <w:tc>
          <w:tcPr>
            <w:tcW w:type="dxa" w:w="3800"/>
            <w:tcMar>
              <w:top w:type="dxa" w:w="80"/>
              <w:left w:type="dxa" w:w="100"/>
              <w:bottom w:type="dxa" w:w="80"/>
              <w:right w:type="dxa" w:w="100"/>
            </w:tcMar>
            <w:vAlign w:val="center"/>
          </w:tcPr>
          <w:p>
            <w:r>
              <w:rPr>
                <w:b w:val="false"/>
                <w:bCs w:val="false"/>
              </w:rPr>
              <w:t xml:space="preserve">Activité aérobique adaptée (polyarthrite rhumatoïde)</w:t>
            </w:r>
          </w:p>
        </w:tc>
        <w:tc>
          <w:tcPr>
            <w:tcW w:type="dxa" w:w="1700"/>
            <w:tcMar>
              <w:top w:type="dxa" w:w="80"/>
              <w:left w:type="dxa" w:w="100"/>
              <w:bottom w:type="dxa" w:w="80"/>
              <w:right w:type="dxa" w:w="100"/>
            </w:tcMar>
            <w:vAlign w:val="center"/>
          </w:tcPr>
          <w:p>
            <w:r>
              <w:rPr>
                <w:b w:val="false"/>
                <w:bCs w:val="false"/>
              </w:rPr>
              <w:t xml:space="preserve">Aérobique</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r>
        <w:tc>
          <w:tcPr>
            <w:tcW w:type="dxa" w:w="3800"/>
            <w:tcMar>
              <w:top w:type="dxa" w:w="80"/>
              <w:left w:type="dxa" w:w="100"/>
              <w:bottom w:type="dxa" w:w="80"/>
              <w:right w:type="dxa" w:w="100"/>
            </w:tcMar>
            <w:vAlign w:val="center"/>
          </w:tcPr>
          <w:p>
            <w:r>
              <w:rPr>
                <w:b w:val="false"/>
                <w:bCs w:val="false"/>
              </w:rPr>
              <w:t xml:space="preserve">Renforcement musculaire léger (polyarthrite rhumatoïde)</w:t>
            </w:r>
          </w:p>
        </w:tc>
        <w:tc>
          <w:tcPr>
            <w:tcW w:type="dxa" w:w="1700"/>
            <w:tcMar>
              <w:top w:type="dxa" w:w="80"/>
              <w:left w:type="dxa" w:w="100"/>
              <w:bottom w:type="dxa" w:w="80"/>
              <w:right w:type="dxa" w:w="100"/>
            </w:tcMar>
            <w:vAlign w:val="center"/>
          </w:tcPr>
          <w:p>
            <w:r>
              <w:rPr>
                <w:b w:val="false"/>
                <w:bCs w:val="false"/>
              </w:rPr>
              <w:t xml:space="preserve">Renforcement</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r>
        <w:tc>
          <w:tcPr>
            <w:tcW w:type="dxa" w:w="3800"/>
            <w:tcMar>
              <w:top w:type="dxa" w:w="80"/>
              <w:left w:type="dxa" w:w="100"/>
              <w:bottom w:type="dxa" w:w="80"/>
              <w:right w:type="dxa" w:w="100"/>
            </w:tcMar>
            <w:vAlign w:val="center"/>
          </w:tcPr>
          <w:p>
            <w:r>
              <w:rPr>
                <w:b w:val="false"/>
                <w:bCs w:val="false"/>
              </w:rPr>
              <w:t xml:space="preserve">Renforcement musculaire avec mise en charge (ostéoporose)</w:t>
            </w:r>
          </w:p>
        </w:tc>
        <w:tc>
          <w:tcPr>
            <w:tcW w:type="dxa" w:w="1700"/>
            <w:tcMar>
              <w:top w:type="dxa" w:w="80"/>
              <w:left w:type="dxa" w:w="100"/>
              <w:bottom w:type="dxa" w:w="80"/>
              <w:right w:type="dxa" w:w="100"/>
            </w:tcMar>
            <w:vAlign w:val="center"/>
          </w:tcPr>
          <w:p>
            <w:r>
              <w:rPr>
                <w:b w:val="false"/>
                <w:bCs w:val="false"/>
              </w:rPr>
              <w:t xml:space="preserve">Renforcement</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r>
        <w:tc>
          <w:tcPr>
            <w:tcW w:type="dxa" w:w="3800"/>
            <w:tcMar>
              <w:top w:type="dxa" w:w="80"/>
              <w:left w:type="dxa" w:w="100"/>
              <w:bottom w:type="dxa" w:w="80"/>
              <w:right w:type="dxa" w:w="100"/>
            </w:tcMar>
            <w:vAlign w:val="center"/>
          </w:tcPr>
          <w:p>
            <w:r>
              <w:rPr>
                <w:b w:val="false"/>
                <w:bCs w:val="false"/>
              </w:rPr>
              <w:t xml:space="preserve">Exercices d'extension du rachis (ostéoporose)</w:t>
            </w:r>
          </w:p>
        </w:tc>
        <w:tc>
          <w:tcPr>
            <w:tcW w:type="dxa" w:w="1700"/>
            <w:tcMar>
              <w:top w:type="dxa" w:w="80"/>
              <w:left w:type="dxa" w:w="100"/>
              <w:bottom w:type="dxa" w:w="80"/>
              <w:right w:type="dxa" w:w="100"/>
            </w:tcMar>
            <w:vAlign w:val="center"/>
          </w:tcPr>
          <w:p>
            <w:r>
              <w:rPr>
                <w:b w:val="false"/>
                <w:bCs w:val="false"/>
              </w:rPr>
              <w:t xml:space="preserve">Renforcement</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r>
        <w:tc>
          <w:tcPr>
            <w:tcW w:type="dxa" w:w="3800"/>
            <w:tcMar>
              <w:top w:type="dxa" w:w="80"/>
              <w:left w:type="dxa" w:w="100"/>
              <w:bottom w:type="dxa" w:w="80"/>
              <w:right w:type="dxa" w:w="100"/>
            </w:tcMar>
            <w:vAlign w:val="center"/>
          </w:tcPr>
          <w:p>
            <w:r>
              <w:rPr>
                <w:b w:val="false"/>
                <w:bCs w:val="false"/>
              </w:rPr>
              <w:t xml:space="preserve">Activité physique adaptée générale (spondyloarthrite axiale)</w:t>
            </w:r>
          </w:p>
        </w:tc>
        <w:tc>
          <w:tcPr>
            <w:tcW w:type="dxa" w:w="1700"/>
            <w:tcMar>
              <w:top w:type="dxa" w:w="80"/>
              <w:left w:type="dxa" w:w="100"/>
              <w:bottom w:type="dxa" w:w="80"/>
              <w:right w:type="dxa" w:w="100"/>
            </w:tcMar>
            <w:vAlign w:val="center"/>
          </w:tcPr>
          <w:p>
            <w:r>
              <w:rPr>
                <w:b w:val="false"/>
                <w:bCs w:val="false"/>
              </w:rPr>
              <w:t xml:space="preserve">Aérobique</w:t>
            </w:r>
          </w:p>
        </w:tc>
        <w:tc>
          <w:tcPr>
            <w:tcW w:type="dxa" w:w="1700"/>
            <w:tcMar>
              <w:top w:type="dxa" w:w="80"/>
              <w:left w:type="dxa" w:w="100"/>
              <w:bottom w:type="dxa" w:w="80"/>
              <w:right w:type="dxa" w:w="100"/>
            </w:tcMar>
            <w:vAlign w:val="center"/>
          </w:tcPr>
          <w:p>
            <w:r>
              <w:rPr>
                <w:b w:val="false"/>
                <w:bCs w:val="false"/>
              </w:rPr>
              <w:t xml:space="preserve">Partie principale</w:t>
            </w:r>
          </w:p>
        </w:tc>
        <w:tc>
          <w:tcPr>
            <w:tcW w:type="dxa" w:w="1826"/>
            <w:tcMar>
              <w:top w:type="dxa" w:w="80"/>
              <w:left w:type="dxa" w:w="100"/>
              <w:bottom w:type="dxa" w:w="80"/>
              <w:right w:type="dxa" w:w="100"/>
            </w:tcMar>
            <w:vAlign w:val="center"/>
          </w:tcPr>
          <w:p>
            <w:r>
              <w:rPr>
                <w:b w:val="false"/>
                <w:bCs w:val="false"/>
              </w:rPr>
              <w:t xml:space="preserve"/>
            </w:r>
          </w:p>
        </w:tc>
      </w:tr>
    </w:tbl>
    <w:p>
      <w:pPr>
        <w:spacing w:after="160"/>
      </w:pPr>
      <w:r>
        <w:rPr>
          <w:i/>
          <w:iCs/>
        </w:rPr>
        <w:t xml:space="preserve">Si vous préférez ne rien classer tant que des exercices d'échauffement/retour au calme dédiés n'existent pas (plutôt que de mettre les 8 exercices actuels en « Partie principale »), dites-le-moi simplement : le champ restera vide et l'application continuera d'afficher tous les exercices d'une séance en une seule liste, comme aujourd'hui.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4"/>
              <w:left w:val="single" w:color="999999" w:sz="4"/>
              <w:bottom w:val="single" w:color="999999" w:sz="4"/>
              <w:right w:val="single" w:color="999999" w:sz="4"/>
            </w:tcBorders>
            <w:tcMar>
              <w:top w:type="dxa" w:w="200"/>
              <w:left w:type="dxa" w:w="150"/>
              <w:bottom w:type="dxa" w:w="800"/>
              <w:right w:type="dxa" w:w="150"/>
            </w:tcMar>
          </w:tcPr>
          <w:p>
            <w:r>
              <w:rPr>
                <w:b/>
                <w:bCs/>
              </w:rPr>
              <w:t xml:space="preserve">Votre réponse</w:t>
            </w:r>
          </w:p>
        </w:tc>
      </w:tr>
    </w:tbl>
    <w:p>
      <w:pPr>
        <w:pStyle w:val="Heading1"/>
        <w:spacing w:after="160" w:before="360"/>
      </w:pPr>
      <w:r>
        <w:rPr>
          <w:b/>
          <w:bCs/>
        </w:rPr>
        <w:t xml:space="preserve">Question 2 — Comment administrer PROMIS Physical Function (CAT) ?</w:t>
      </w:r>
    </w:p>
    <w:p>
      <w:pPr>
        <w:spacing w:after="160"/>
      </w:pPr>
      <w:r>
        <w:t xml:space="preserve">Votre réponse B10 désigne PROMIS Physical Function, au format CAT (test adaptatif informatisé), comme mesure principale de capacité fonctionnelle. Le PSFS (l'instrument complémentaire de la même réponse) est déjà pleinement intégré : un patient peut nommer 3 à 5 activités qui lui posent difficulté et les noter de 0 à 10, la moyenne étant calculée automatiquement (page « Mes statistiques »).</w:t>
      </w:r>
    </w:p>
    <w:p>
      <w:pPr>
        <w:spacing w:after="160"/>
      </w:pPr>
      <w:r>
        <w:t xml:space="preserve">PROMIS pose un problème différent : un CAT n'affiche pas une liste fixe de questions, il choisit la question suivante en fonction de la réponse précédente, à partir d'une banque d'items et d'un algorithme calibrés et détenus par HealthMeasures (NIH). Je n'ai accès ni à cette banque d'items ni à cet algorithme, et les reconstituer de mémoire reviendrait à fabriquer un instrument de mesure validé sous son nom — exactement le type de contenu médical non sourcé que je ne dois jamais produire (§57, §59).</w:t>
      </w:r>
    </w:p>
    <w:p>
      <w:pPr>
        <w:spacing w:after="160"/>
      </w:pPr>
      <w:r>
        <w:rPr>
          <w:b/>
          <w:bCs/>
        </w:rPr>
        <w:t xml:space="preserve">Proposition A — intégration officielle : vous (ou l'établissement) souscrivez un accès à l'API HealthMeasures Assessment Center, qui administre le vrai CAT et renvoie un T-score fiable ; je l'intègre à l'application (la table de stockage est déjà prête à recevoir ce score).</w:t>
      </w:r>
    </w:p>
    <w:p>
      <w:pPr>
        <w:spacing w:after="160"/>
      </w:pPr>
      <w:r>
        <w:rPr>
          <w:b/>
          <w:bCs/>
        </w:rPr>
        <w:t xml:space="preserve">Proposition B — formulaire court fixe : PROMIS publie aussi des « short forms » non adaptatifs (une liste FIXE d'items, ex. PROMIS PF SF 10a), avec une table de conversion score brut → T-score elle aussi publiée. Si vous me transmettez la référence exacte du formulaire court que vous souhaitez utiliser et sa table de conversion officielle, je les intègre à l'identique (texte des items et barème repris tels quels, jamais reformulés).</w:t>
      </w:r>
    </w:p>
    <w:p>
      <w:pPr>
        <w:spacing w:after="160"/>
      </w:pPr>
      <w:r>
        <w:rPr>
          <w:b/>
          <w:bCs/>
        </w:rPr>
        <w:t xml:space="preserve">Proposition C — reporter PROMIS pour l'instant : le PSFS, déjà actif, reste le seul instrument de capacité fonctionnelle jusqu'à ce que vous ayez tranché entre A et B ; la page indique simplement que PROMIS est en attente.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4"/>
              <w:left w:val="single" w:color="999999" w:sz="4"/>
              <w:bottom w:val="single" w:color="999999" w:sz="4"/>
              <w:right w:val="single" w:color="999999" w:sz="4"/>
            </w:tcBorders>
            <w:tcMar>
              <w:top w:type="dxa" w:w="200"/>
              <w:left w:type="dxa" w:w="150"/>
              <w:bottom w:type="dxa" w:w="800"/>
              <w:right w:type="dxa" w:w="150"/>
            </w:tcMar>
          </w:tcPr>
          <w:p>
            <w:r>
              <w:rPr>
                <w:b/>
                <w:bCs/>
              </w:rPr>
              <w:t xml:space="preserve">Votre réponse</w:t>
            </w:r>
          </w:p>
        </w:tc>
      </w:tr>
    </w:tbl>
    <w:p>
      <w:pPr>
        <w:pStyle w:val="Heading2"/>
        <w:spacing w:after="120" w:before="240"/>
      </w:pPr>
      <w:r>
        <w:rPr>
          <w:b/>
          <w:bCs/>
        </w:rPr>
        <w:t xml:space="preserve">Ce que je fais dès réception de vos réponses</w:t>
      </w:r>
    </w:p>
    <w:p>
      <w:pPr>
        <w:pStyle w:val="ListParagraph"/>
        <w:numPr>
          <w:ilvl w:val="0"/>
          <w:numId w:val="1"/>
        </w:numPr>
        <w:spacing w:after="100"/>
      </w:pPr>
      <w:r>
        <w:t xml:space="preserve">Écrire une migration de données classant les 8 exercices existants selon votre réponse à la Question 1, et activer l'affichage en 3 sections dans l'écran de séance.</w:t>
      </w:r>
    </w:p>
    <w:p>
      <w:pPr>
        <w:pStyle w:val="ListParagraph"/>
        <w:numPr>
          <w:ilvl w:val="0"/>
          <w:numId w:val="1"/>
        </w:numPr>
        <w:spacing w:after="100"/>
      </w:pPr>
      <w:r>
        <w:t xml:space="preserve">Selon votre réponse à la Question 2 : intégrer l'API officielle (A), encoder le formulaire court et son barème tels que vous les aurez transmis (B), ou ne rien changer côté PROMIS et documenter l'attente (C).</w:t>
      </w:r>
    </w:p>
    <w:p>
      <w:pPr>
        <w:spacing w:after="160"/>
      </w:pPr>
      <w:r>
        <w:rPr>
          <w:i/>
          <w:iCs/>
        </w:rPr>
        <w:t xml:space="preserve">Comme pour les documents précédents, si vous préférez me laisser reformuler moi-même une proposition complète plutôt que choisir entre les options, dites-le-moi simplement.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2026-08-30T22:03:38.018Z</dcterms:created>
  <dcterms:modified xsi:type="dcterms:W3CDTF">2026-08-30T22:03:38.018Z</dcterms:modified>
</cp:coreProperties>
</file>

<file path=docProps/custom.xml><?xml version="1.0" encoding="utf-8"?>
<Properties xmlns="http://schemas.openxmlformats.org/officeDocument/2006/custom-properties" xmlns:vt="http://schemas.openxmlformats.org/officeDocument/2006/docPropsVTypes"/>
</file>