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8662D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75354C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782F30" w:rsidRDefault="00F66F14" w:rsidP="008662D6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8662D6"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изучить и закрепить умение реализации ЭЦП на примере RSA.</w:t>
      </w:r>
    </w:p>
    <w:p w:rsidR="008662D6" w:rsidRPr="008662D6" w:rsidRDefault="0075354C" w:rsidP="00782F30">
      <w:pPr>
        <w:shd w:val="clear" w:color="auto" w:fill="FFFFFF"/>
        <w:spacing w:before="240" w:after="120"/>
        <w:ind w:firstLine="567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Выполнение работы</w:t>
      </w:r>
      <w:r w:rsidR="008662D6">
        <w:rPr>
          <w:rFonts w:ascii="Times New Roman" w:hAnsi="Times New Roman" w:cs="Times New Roman"/>
          <w:b/>
          <w:sz w:val="28"/>
        </w:rPr>
        <w:t>.</w:t>
      </w:r>
    </w:p>
    <w:p w:rsidR="008662D6" w:rsidRPr="008662D6" w:rsidRDefault="008662D6" w:rsidP="008662D6">
      <w:pPr>
        <w:shd w:val="clear" w:color="auto" w:fill="FFFFFF"/>
        <w:spacing w:before="240" w:after="12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8662D6">
        <w:rPr>
          <w:rFonts w:ascii="Times New Roman" w:hAnsi="Times New Roman" w:cs="Times New Roman"/>
          <w:b/>
          <w:sz w:val="28"/>
        </w:rPr>
        <w:t>Реализация элементов ЭЦП RSA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Говоря о схеме цифровой подписи, обычно имеют в виду следующую классическую ситуацию: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отправитель знает содержание сообщения, которое он подписывает;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безопасность схемы подписи гарантируется.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При создании цифровой подписи по классической схеме отправитель: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 xml:space="preserve">применяет к исходному сообщению T хеш-функцию h(T) и получает </w:t>
      </w:r>
      <w:proofErr w:type="spellStart"/>
      <w:r w:rsidRPr="008662D6">
        <w:rPr>
          <w:rFonts w:ascii="Times New Roman" w:hAnsi="Times New Roman" w:cs="Times New Roman"/>
          <w:sz w:val="28"/>
        </w:rPr>
        <w:t>хеш</w:t>
      </w:r>
      <w:proofErr w:type="spellEnd"/>
      <w:r w:rsidRPr="008662D6">
        <w:rPr>
          <w:rFonts w:ascii="Times New Roman" w:hAnsi="Times New Roman" w:cs="Times New Roman"/>
          <w:sz w:val="28"/>
        </w:rPr>
        <w:t>-образ r сообщения;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 xml:space="preserve">вычисляет цифровую подпись s по </w:t>
      </w:r>
      <w:proofErr w:type="spellStart"/>
      <w:r w:rsidRPr="008662D6">
        <w:rPr>
          <w:rFonts w:ascii="Times New Roman" w:hAnsi="Times New Roman" w:cs="Times New Roman"/>
          <w:sz w:val="28"/>
        </w:rPr>
        <w:t>хеш</w:t>
      </w:r>
      <w:proofErr w:type="spellEnd"/>
      <w:r w:rsidRPr="008662D6">
        <w:rPr>
          <w:rFonts w:ascii="Times New Roman" w:hAnsi="Times New Roman" w:cs="Times New Roman"/>
          <w:sz w:val="28"/>
        </w:rPr>
        <w:t>-образу r с использованием своего закрытого ключа;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посылает сообщение T вместе с цифровой подписью s получателю.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Получатель, отделив цифровую подпись от сообщения, выполняет следующие действия: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 xml:space="preserve">применяет к полученному сообщению T хеш-функцию h(T) и получает </w:t>
      </w:r>
      <w:proofErr w:type="spellStart"/>
      <w:r w:rsidRPr="008662D6">
        <w:rPr>
          <w:rFonts w:ascii="Times New Roman" w:hAnsi="Times New Roman" w:cs="Times New Roman"/>
          <w:sz w:val="28"/>
        </w:rPr>
        <w:t>хеш</w:t>
      </w:r>
      <w:proofErr w:type="spellEnd"/>
      <w:r w:rsidRPr="008662D6">
        <w:rPr>
          <w:rFonts w:ascii="Times New Roman" w:hAnsi="Times New Roman" w:cs="Times New Roman"/>
          <w:sz w:val="28"/>
        </w:rPr>
        <w:t>-образ r сообщения;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 xml:space="preserve">расшифровывает </w:t>
      </w:r>
      <w:proofErr w:type="spellStart"/>
      <w:r w:rsidRPr="008662D6">
        <w:rPr>
          <w:rFonts w:ascii="Times New Roman" w:hAnsi="Times New Roman" w:cs="Times New Roman"/>
          <w:sz w:val="28"/>
        </w:rPr>
        <w:t>хеш</w:t>
      </w:r>
      <w:proofErr w:type="spellEnd"/>
      <w:r w:rsidRPr="008662D6">
        <w:rPr>
          <w:rFonts w:ascii="Times New Roman" w:hAnsi="Times New Roman" w:cs="Times New Roman"/>
          <w:sz w:val="28"/>
        </w:rPr>
        <w:t>-образ r’ из цифровой подписи s с использованием открытого ключа отправителя;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 xml:space="preserve">проверяет соответствие </w:t>
      </w:r>
      <w:proofErr w:type="spellStart"/>
      <w:r w:rsidRPr="008662D6">
        <w:rPr>
          <w:rFonts w:ascii="Times New Roman" w:hAnsi="Times New Roman" w:cs="Times New Roman"/>
          <w:sz w:val="28"/>
        </w:rPr>
        <w:t>хеш</w:t>
      </w:r>
      <w:proofErr w:type="spellEnd"/>
      <w:r w:rsidRPr="008662D6">
        <w:rPr>
          <w:rFonts w:ascii="Times New Roman" w:hAnsi="Times New Roman" w:cs="Times New Roman"/>
          <w:sz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lastRenderedPageBreak/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Разновидности ЭЦП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Кроме классической схемы ЭЦП различают еще несколько специальных: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схема "конфиденциальной" (</w:t>
      </w:r>
      <w:proofErr w:type="spellStart"/>
      <w:r w:rsidRPr="008662D6">
        <w:rPr>
          <w:rFonts w:ascii="Times New Roman" w:hAnsi="Times New Roman" w:cs="Times New Roman"/>
          <w:sz w:val="28"/>
        </w:rPr>
        <w:t>неотвергаемой</w:t>
      </w:r>
      <w:proofErr w:type="spellEnd"/>
      <w:r w:rsidRPr="008662D6">
        <w:rPr>
          <w:rFonts w:ascii="Times New Roman" w:hAnsi="Times New Roman" w:cs="Times New Roman"/>
          <w:sz w:val="28"/>
        </w:rPr>
        <w:t xml:space="preserve">) подписи – подпись не может быть проверена </w:t>
      </w:r>
      <w:proofErr w:type="gramStart"/>
      <w:r w:rsidRPr="008662D6">
        <w:rPr>
          <w:rFonts w:ascii="Times New Roman" w:hAnsi="Times New Roman" w:cs="Times New Roman"/>
          <w:sz w:val="28"/>
        </w:rPr>
        <w:t>без участия</w:t>
      </w:r>
      <w:proofErr w:type="gramEnd"/>
      <w:r w:rsidRPr="008662D6">
        <w:rPr>
          <w:rFonts w:ascii="Times New Roman" w:hAnsi="Times New Roman" w:cs="Times New Roman"/>
          <w:sz w:val="28"/>
        </w:rPr>
        <w:t xml:space="preserve"> сгенерировавшего ее лица;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схема подписи "вслепую" ("затемненной" подписи) - отправитель не знает подписанного им сообщения;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схема "</w:t>
      </w:r>
      <w:proofErr w:type="spellStart"/>
      <w:r w:rsidRPr="008662D6">
        <w:rPr>
          <w:rFonts w:ascii="Times New Roman" w:hAnsi="Times New Roman" w:cs="Times New Roman"/>
          <w:sz w:val="28"/>
        </w:rPr>
        <w:t>мультиподписи</w:t>
      </w:r>
      <w:proofErr w:type="spellEnd"/>
      <w:r w:rsidRPr="008662D6">
        <w:rPr>
          <w:rFonts w:ascii="Times New Roman" w:hAnsi="Times New Roman" w:cs="Times New Roman"/>
          <w:sz w:val="28"/>
        </w:rPr>
        <w:t>" - вместо одного отправителя сообщение подписывает группа из нескольких участников;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•</w:t>
      </w:r>
      <w:r w:rsidRPr="008662D6">
        <w:rPr>
          <w:rFonts w:ascii="Times New Roman" w:hAnsi="Times New Roman" w:cs="Times New Roman"/>
          <w:sz w:val="28"/>
        </w:rPr>
        <w:tab/>
        <w:t>и др.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 xml:space="preserve">Этап 1. Выработка ключей (выполняет отправитель А) - см. практическую работу </w:t>
      </w:r>
      <w:proofErr w:type="gramStart"/>
      <w:r w:rsidRPr="008662D6">
        <w:rPr>
          <w:rFonts w:ascii="Times New Roman" w:hAnsi="Times New Roman" w:cs="Times New Roman"/>
          <w:sz w:val="28"/>
        </w:rPr>
        <w:t>6  "</w:t>
      </w:r>
      <w:proofErr w:type="gramEnd"/>
      <w:r w:rsidRPr="008662D6">
        <w:rPr>
          <w:rFonts w:ascii="Times New Roman" w:hAnsi="Times New Roman" w:cs="Times New Roman"/>
          <w:sz w:val="28"/>
        </w:rPr>
        <w:t>Шифрование методом RSA".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Этап 2. Отправка сообщения и электронной подписи (выполняет отправитель А).</w:t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Отправка сообщения и ЭЦП на базе алгоритма RSA</w:t>
      </w:r>
    </w:p>
    <w:p w:rsidR="008662D6" w:rsidRPr="008662D6" w:rsidRDefault="008662D6" w:rsidP="00782F30">
      <w:pPr>
        <w:shd w:val="clear" w:color="auto" w:fill="FFFFFF"/>
        <w:spacing w:before="240" w:after="240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noProof/>
          <w:lang w:eastAsia="ru-RU"/>
        </w:rPr>
        <w:drawing>
          <wp:inline distT="0" distB="0" distL="0" distR="0" wp14:anchorId="294A26E8" wp14:editId="71193862">
            <wp:extent cx="5940425" cy="1169670"/>
            <wp:effectExtent l="0" t="0" r="3175" b="0"/>
            <wp:docPr id="8" name="Рисунок 8" descr="https://sites.google.com/site/anisimovkhv/_/rsrc/1333597112299/learning/kripto/lecture/tema12/rsa_sendMess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sites.google.com/site/anisimovkhv/_/rsrc/1333597112299/learning/kripto/lecture/tema12/rsa_sendMess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D6" w:rsidRPr="008662D6" w:rsidRDefault="008662D6" w:rsidP="00782F30">
      <w:pPr>
        <w:shd w:val="clear" w:color="auto" w:fill="FFFFFF"/>
        <w:spacing w:before="240" w:after="240"/>
        <w:ind w:firstLine="567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Этап 3. Получение сообщения и проверка электронной подписи (выполняет получатель B).</w:t>
      </w:r>
    </w:p>
    <w:p w:rsidR="008662D6" w:rsidRPr="008662D6" w:rsidRDefault="008662D6" w:rsidP="00782F30">
      <w:pPr>
        <w:shd w:val="clear" w:color="auto" w:fill="FFFFFF"/>
        <w:spacing w:before="240" w:after="240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noProof/>
          <w:lang w:eastAsia="ru-RU"/>
        </w:rPr>
        <w:drawing>
          <wp:inline distT="0" distB="0" distL="0" distR="0" wp14:anchorId="662068BE" wp14:editId="5513AF1D">
            <wp:extent cx="5940425" cy="1457960"/>
            <wp:effectExtent l="0" t="0" r="3175" b="8890"/>
            <wp:docPr id="1" name="Рисунок 1" descr="https://sites.google.com/site/anisimovkhv/_/rsrc/1333598788657/learning/kripto/lecture/tema12/rsa_takeMess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ites.google.com/site/anisimovkhv/_/rsrc/1333598788657/learning/kripto/lecture/tema12/rsa_takeMes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D6" w:rsidRDefault="008662D6" w:rsidP="00782F30">
      <w:pPr>
        <w:shd w:val="clear" w:color="auto" w:fill="FFFFFF"/>
        <w:spacing w:after="240"/>
        <w:ind w:firstLine="567"/>
        <w:jc w:val="both"/>
        <w:outlineLvl w:val="1"/>
        <w:rPr>
          <w:rFonts w:ascii="Times New Roman" w:hAnsi="Times New Roman" w:cs="Times New Roman"/>
          <w:sz w:val="28"/>
        </w:rPr>
      </w:pPr>
      <w:r w:rsidRPr="008662D6">
        <w:rPr>
          <w:rFonts w:ascii="Times New Roman" w:hAnsi="Times New Roman" w:cs="Times New Roman"/>
          <w:sz w:val="28"/>
        </w:rPr>
        <w:t>Получение сообщения и проверка ЭЦП на базе алгоритма RSA.</w:t>
      </w:r>
    </w:p>
    <w:p w:rsidR="008662D6" w:rsidRDefault="008662D6" w:rsidP="00782F30">
      <w:pPr>
        <w:shd w:val="clear" w:color="auto" w:fill="FFFFFF"/>
        <w:spacing w:before="240" w:after="24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</w:t>
      </w:r>
      <w:r>
        <w:rPr>
          <w:rFonts w:ascii="Times New Roman" w:hAnsi="Times New Roman" w:cs="Times New Roman"/>
          <w:sz w:val="28"/>
        </w:rPr>
        <w:t>ЭЦП</w:t>
      </w:r>
      <w:r w:rsidRPr="0075354C">
        <w:rPr>
          <w:rFonts w:ascii="Times New Roman" w:hAnsi="Times New Roman" w:cs="Times New Roman"/>
          <w:sz w:val="28"/>
        </w:rPr>
        <w:t xml:space="preserve"> </w:t>
      </w:r>
      <w:r w:rsidRPr="0075354C">
        <w:rPr>
          <w:rFonts w:ascii="Times New Roman" w:hAnsi="Times New Roman" w:cs="Times New Roman"/>
          <w:sz w:val="28"/>
          <w:lang w:val="en-US"/>
        </w:rPr>
        <w:t>RSA</w:t>
      </w:r>
      <w:r w:rsidRPr="0075354C">
        <w:rPr>
          <w:rFonts w:ascii="Times New Roman" w:hAnsi="Times New Roman" w:cs="Times New Roman"/>
          <w:sz w:val="28"/>
        </w:rPr>
        <w:t xml:space="preserve"> с помощью класса </w:t>
      </w:r>
      <w:proofErr w:type="spellStart"/>
      <w:r w:rsidRPr="0075354C">
        <w:rPr>
          <w:rFonts w:ascii="Times New Roman" w:hAnsi="Times New Roman" w:cs="Times New Roman"/>
          <w:b/>
          <w:sz w:val="28"/>
        </w:rPr>
        <w:t>RSACryptoServiceProvider</w:t>
      </w:r>
      <w:proofErr w:type="spellEnd"/>
      <w:r w:rsidRPr="0075354C">
        <w:rPr>
          <w:rFonts w:ascii="Times New Roman" w:hAnsi="Times New Roman" w:cs="Times New Roman"/>
          <w:sz w:val="28"/>
        </w:rPr>
        <w:t>: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2B91AF"/>
          <w:sz w:val="19"/>
          <w:szCs w:val="19"/>
          <w:lang w:val="en-US"/>
        </w:rPr>
        <w:t>RSASign</w:t>
      </w:r>
      <w:proofErr w:type="spellEnd"/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UTF8Encoding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ByteConverter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UTF8Encoding(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662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8662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dataString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ByteConverter.GetBytes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dataString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RSAalg.ExportParameters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HashAndSignBytes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originalData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, Key))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"ЭЦП не принадлежит этому сообщению"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782F30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782F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82F3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82F3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ЭЦП</w:t>
      </w:r>
      <w:r w:rsidRPr="00782F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82F3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проверено</w:t>
      </w:r>
      <w:r w:rsidRPr="00782F3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82F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2F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HashAndSignBytes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DataToSign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RSAalg.ImportParameters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Key);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RSAalg.SignData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DataToSign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, SHA256.Create());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VerifySignedHash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DataToVerify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RSACryptoServiceProvider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RSAalg.ImportParameters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Key);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RSAalg.VerifyData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DataToVerify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SHA256.Create(), 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SignedData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2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CryptographicException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2D6" w:rsidRP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2D6" w:rsidRPr="00782F30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2F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2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2F3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2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62D6" w:rsidRDefault="008662D6" w:rsidP="008662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/>
        <w:jc w:val="both"/>
        <w:outlineLvl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62D6" w:rsidRDefault="008662D6" w:rsidP="008662D6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Результат выполнения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662D6" w:rsidRDefault="008662D6" w:rsidP="008662D6">
      <w:pPr>
        <w:shd w:val="clear" w:color="auto" w:fill="FFFFFF"/>
        <w:spacing w:before="240" w:after="24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DFDDDC" wp14:editId="0E5D6808">
            <wp:extent cx="5940425" cy="3112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6" w:rsidRPr="008662D6" w:rsidRDefault="008662D6" w:rsidP="008662D6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изучены и закреплены умения</w:t>
      </w:r>
      <w:r w:rsidRPr="008662D6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реализации ЭЦП.</w:t>
      </w:r>
    </w:p>
    <w:sectPr w:rsidR="008662D6" w:rsidRPr="0086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630BF6"/>
    <w:rsid w:val="0075354C"/>
    <w:rsid w:val="00782F30"/>
    <w:rsid w:val="007D3E8C"/>
    <w:rsid w:val="00860AEF"/>
    <w:rsid w:val="008662D6"/>
    <w:rsid w:val="00AE6BB7"/>
    <w:rsid w:val="00B00298"/>
    <w:rsid w:val="00B03BD0"/>
    <w:rsid w:val="00B2513E"/>
    <w:rsid w:val="00BC0110"/>
    <w:rsid w:val="00C82430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2022-12-01T18:03:00Z</dcterms:created>
  <dcterms:modified xsi:type="dcterms:W3CDTF">2022-12-01T18:07:00Z</dcterms:modified>
</cp:coreProperties>
</file>