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color w:val="1B365D"/>
          <w:sz w:val="26"/>
        </w:rPr>
        <w:t>SRI VENKATESWARA COLLEGE OF ENGINEERING</w:t>
        <w:br/>
      </w:r>
      <w:r>
        <w:rPr>
          <w:rFonts w:ascii="Times New Roman" w:hAnsi="Times New Roman"/>
          <w:color w:val="787878"/>
          <w:sz w:val="17"/>
        </w:rPr>
        <w:t>EDUCATION FOR A BETTER SOCIETY</w:t>
        <w:br/>
      </w:r>
    </w:p>
    <w:p>
      <w:pPr>
        <w:spacing w:before="360" w:after="240"/>
        <w:jc w:val="center"/>
      </w:pPr>
      <w:r>
        <w:rPr>
          <w:rFonts w:ascii="Times New Roman" w:hAnsi="Times New Roman"/>
          <w:color w:val="B42828"/>
          <w:sz w:val="25"/>
        </w:rPr>
        <w:t>Community Service Project</w:t>
        <w:br/>
        <w:t>Presentation on</w:t>
        <w:br/>
      </w:r>
      <w:r>
        <w:rPr>
          <w:rFonts w:ascii="Times New Roman" w:hAnsi="Times New Roman"/>
          <w:b/>
          <w:color w:val="B41414"/>
          <w:sz w:val="30"/>
        </w:rPr>
        <w:t>“ELECTRIFY THE FUTURE: PROMOTING SAFE ELECTRICITY USES IN SCHOOLS”</w:t>
      </w:r>
    </w:p>
    <w:p>
      <w:pPr>
        <w:spacing w:before="280" w:after="120"/>
        <w:jc w:val="center"/>
      </w:pPr>
      <w:r>
        <w:rPr>
          <w:rFonts w:ascii="Times New Roman" w:hAnsi="Times New Roman"/>
          <w:i/>
          <w:color w:val="B46414"/>
          <w:sz w:val="22"/>
        </w:rPr>
        <w:t>Presented by</w:t>
        <w:br/>
      </w:r>
    </w:p>
    <w:tbl>
      <w:tblPr>
        <w:tblW w:type="auto" w:w="0"/>
        <w:jc w:val="center"/>
        <w:tblLook w:firstColumn="1" w:firstRow="1" w:lastColumn="0" w:lastRow="0" w:noHBand="0" w:noVBand="1" w:val="04A0"/>
      </w:tblPr>
      <w:tblGrid>
        <w:gridCol w:w="5580"/>
        <w:gridCol w:w="5580"/>
      </w:tblGrid>
      <w:tr>
        <w:tc>
          <w:tcPr>
            <w:tcW w:type="dxa" w:w="5580"/>
          </w:tcPr>
          <w:p>
            <w:pPr>
              <w:jc w:val="left"/>
            </w:pPr>
            <w:r>
              <w:rPr>
                <w:rFonts w:ascii="Times New Roman" w:hAnsi="Times New Roman"/>
                <w:b/>
                <w:sz w:val="19"/>
              </w:rPr>
              <w:t>KASIREDDY CHARISHMA</w:t>
            </w:r>
          </w:p>
        </w:tc>
        <w:tc>
          <w:tcPr>
            <w:tcW w:type="dxa" w:w="5580"/>
          </w:tcPr>
          <w:p>
            <w:pPr>
              <w:jc w:val="right"/>
            </w:pPr>
            <w:r>
              <w:rPr>
                <w:rFonts w:ascii="Times New Roman" w:hAnsi="Times New Roman"/>
                <w:b/>
                <w:sz w:val="19"/>
              </w:rPr>
              <w:t>25BFA02L13</w:t>
            </w:r>
          </w:p>
        </w:tc>
      </w:tr>
      <w:tr>
        <w:tc>
          <w:tcPr>
            <w:tcW w:type="dxa" w:w="5580"/>
          </w:tcPr>
          <w:p>
            <w:pPr>
              <w:jc w:val="left"/>
            </w:pPr>
            <w:r>
              <w:rPr>
                <w:rFonts w:ascii="Times New Roman" w:hAnsi="Times New Roman"/>
                <w:b/>
                <w:sz w:val="19"/>
              </w:rPr>
              <w:t>CHEKURI JAGADEESH KUMAR</w:t>
            </w:r>
          </w:p>
        </w:tc>
        <w:tc>
          <w:tcPr>
            <w:tcW w:type="dxa" w:w="5580"/>
          </w:tcPr>
          <w:p>
            <w:pPr>
              <w:jc w:val="right"/>
            </w:pPr>
            <w:r>
              <w:rPr>
                <w:rFonts w:ascii="Times New Roman" w:hAnsi="Times New Roman"/>
                <w:b/>
                <w:sz w:val="19"/>
              </w:rPr>
              <w:t>24BFA02068</w:t>
            </w:r>
          </w:p>
        </w:tc>
      </w:tr>
      <w:tr>
        <w:tc>
          <w:tcPr>
            <w:tcW w:type="dxa" w:w="5580"/>
          </w:tcPr>
          <w:p>
            <w:pPr>
              <w:jc w:val="left"/>
            </w:pPr>
            <w:r>
              <w:rPr>
                <w:rFonts w:ascii="Times New Roman" w:hAnsi="Times New Roman"/>
                <w:b/>
                <w:sz w:val="19"/>
              </w:rPr>
              <w:t>GADE ANUSHA</w:t>
            </w:r>
          </w:p>
        </w:tc>
        <w:tc>
          <w:tcPr>
            <w:tcW w:type="dxa" w:w="5580"/>
          </w:tcPr>
          <w:p>
            <w:pPr>
              <w:jc w:val="right"/>
            </w:pPr>
            <w:r>
              <w:rPr>
                <w:rFonts w:ascii="Times New Roman" w:hAnsi="Times New Roman"/>
                <w:b/>
                <w:sz w:val="19"/>
              </w:rPr>
              <w:t>24BFA02071</w:t>
            </w:r>
          </w:p>
        </w:tc>
      </w:tr>
      <w:tr>
        <w:tc>
          <w:tcPr>
            <w:tcW w:type="dxa" w:w="5580"/>
          </w:tcPr>
          <w:p>
            <w:pPr>
              <w:jc w:val="left"/>
            </w:pPr>
            <w:r>
              <w:rPr>
                <w:rFonts w:ascii="Times New Roman" w:hAnsi="Times New Roman"/>
                <w:b/>
                <w:sz w:val="19"/>
              </w:rPr>
              <w:t>GUNDRATHI SOMASEKHAR GOUD</w:t>
            </w:r>
          </w:p>
        </w:tc>
        <w:tc>
          <w:tcPr>
            <w:tcW w:type="dxa" w:w="5580"/>
          </w:tcPr>
          <w:p>
            <w:pPr>
              <w:jc w:val="right"/>
            </w:pPr>
            <w:r>
              <w:rPr>
                <w:rFonts w:ascii="Times New Roman" w:hAnsi="Times New Roman"/>
                <w:b/>
                <w:sz w:val="19"/>
              </w:rPr>
              <w:t>24BFA02085</w:t>
            </w:r>
          </w:p>
        </w:tc>
      </w:tr>
      <w:tr>
        <w:tc>
          <w:tcPr>
            <w:tcW w:type="dxa" w:w="5580"/>
          </w:tcPr>
          <w:p>
            <w:pPr>
              <w:jc w:val="left"/>
            </w:pPr>
            <w:r>
              <w:rPr>
                <w:rFonts w:ascii="Times New Roman" w:hAnsi="Times New Roman"/>
                <w:b/>
                <w:sz w:val="19"/>
              </w:rPr>
              <w:t>PATHAGUNTA PAVANCHARAN KUMAR</w:t>
            </w:r>
          </w:p>
        </w:tc>
        <w:tc>
          <w:tcPr>
            <w:tcW w:type="dxa" w:w="5580"/>
          </w:tcPr>
          <w:p>
            <w:pPr>
              <w:jc w:val="right"/>
            </w:pPr>
            <w:r>
              <w:rPr>
                <w:rFonts w:ascii="Times New Roman" w:hAnsi="Times New Roman"/>
                <w:b/>
                <w:sz w:val="19"/>
              </w:rPr>
              <w:t>24BFA02123</w:t>
            </w:r>
          </w:p>
        </w:tc>
      </w:tr>
    </w:tbl>
    <w:p>
      <w:pPr>
        <w:spacing w:before="320" w:after="80"/>
        <w:jc w:val="center"/>
      </w:pPr>
      <w:r>
        <w:rPr>
          <w:rFonts w:ascii="Times New Roman" w:hAnsi="Times New Roman"/>
          <w:i/>
          <w:color w:val="B42828"/>
          <w:sz w:val="21"/>
        </w:rPr>
        <w:t>Under the Guidance of</w:t>
        <w:br/>
      </w:r>
      <w:r>
        <w:rPr>
          <w:rFonts w:ascii="Times New Roman" w:hAnsi="Times New Roman"/>
          <w:b/>
          <w:sz w:val="22"/>
        </w:rPr>
        <w:t>Dr. R. Sireesha Ph.D., Associate Professor</w:t>
        <w:br/>
      </w:r>
    </w:p>
    <w:p>
      <w:pPr>
        <w:spacing w:before="240"/>
        <w:jc w:val="center"/>
      </w:pPr>
      <w:r>
        <w:rPr>
          <w:rFonts w:ascii="Times New Roman" w:hAnsi="Times New Roman"/>
          <w:color w:val="1B365D"/>
          <w:sz w:val="21"/>
        </w:rPr>
        <w:t>Department of Electrical &amp; Electronics Engineering</w:t>
        <w:br/>
      </w:r>
      <w:r>
        <w:rPr>
          <w:rFonts w:ascii="Times New Roman" w:hAnsi="Times New Roman"/>
          <w:b/>
          <w:color w:val="1B365D"/>
          <w:sz w:val="24"/>
        </w:rPr>
        <w:t>SRI VENKATESWARA COLLEGE OF ENGINEERING (AUTONOMOUS)</w:t>
        <w:br/>
        <w:t>(Autonomous)</w:t>
        <w:br/>
      </w:r>
      <w:r>
        <w:rPr>
          <w:rFonts w:ascii="Times New Roman" w:hAnsi="Times New Roman"/>
          <w:b/>
          <w:color w:val="B42828"/>
          <w:sz w:val="19"/>
        </w:rPr>
        <w:t>2024-2028</w:t>
      </w:r>
    </w:p>
    <w:p>
      <w:r>
        <w:br w:type="page"/>
      </w:r>
    </w:p>
    <w:p>
      <w:pPr>
        <w:spacing w:before="240" w:after="320"/>
        <w:jc w:val="center"/>
      </w:pPr>
      <w:r>
        <w:rPr>
          <w:rFonts w:ascii="Times New Roman" w:hAnsi="Times New Roman"/>
          <w:b/>
          <w:color w:val="B41414"/>
          <w:sz w:val="32"/>
        </w:rPr>
        <w:t>CONTENTS</w:t>
      </w:r>
    </w:p>
    <w:p>
      <w:pPr>
        <w:spacing w:after="120"/>
        <w:ind w:left="1152"/>
      </w:pPr>
      <w:r>
        <w:rPr>
          <w:b/>
          <w:color w:val="B41414"/>
          <w:sz w:val="26"/>
        </w:rPr>
        <w:t xml:space="preserve">•  </w:t>
      </w:r>
      <w:r>
        <w:rPr>
          <w:rFonts w:ascii="Times New Roman" w:hAnsi="Times New Roman"/>
          <w:b/>
          <w:sz w:val="25"/>
        </w:rPr>
        <w:t>ABSTRACT</w:t>
      </w:r>
    </w:p>
    <w:p>
      <w:pPr>
        <w:spacing w:after="120"/>
        <w:ind w:left="1152"/>
      </w:pPr>
      <w:r>
        <w:rPr>
          <w:b/>
          <w:color w:val="B41414"/>
          <w:sz w:val="26"/>
        </w:rPr>
        <w:t xml:space="preserve">•  </w:t>
      </w:r>
      <w:r>
        <w:rPr>
          <w:rFonts w:ascii="Times New Roman" w:hAnsi="Times New Roman"/>
          <w:b/>
          <w:sz w:val="25"/>
        </w:rPr>
        <w:t>INTRODUCTION</w:t>
      </w:r>
    </w:p>
    <w:p>
      <w:pPr>
        <w:spacing w:after="120"/>
        <w:ind w:left="1152"/>
      </w:pPr>
      <w:r>
        <w:rPr>
          <w:b/>
          <w:color w:val="B41414"/>
          <w:sz w:val="26"/>
        </w:rPr>
        <w:t xml:space="preserve">•  </w:t>
      </w:r>
      <w:r>
        <w:rPr>
          <w:rFonts w:ascii="Times New Roman" w:hAnsi="Times New Roman"/>
          <w:b/>
          <w:sz w:val="25"/>
        </w:rPr>
        <w:t>OBJECTIVES</w:t>
      </w:r>
    </w:p>
    <w:p>
      <w:pPr>
        <w:spacing w:after="120"/>
        <w:ind w:left="1152"/>
      </w:pPr>
      <w:r>
        <w:rPr>
          <w:b/>
          <w:color w:val="B41414"/>
          <w:sz w:val="26"/>
        </w:rPr>
        <w:t xml:space="preserve">•  </w:t>
      </w:r>
      <w:r>
        <w:rPr>
          <w:rFonts w:ascii="Times New Roman" w:hAnsi="Times New Roman"/>
          <w:b/>
          <w:sz w:val="25"/>
        </w:rPr>
        <w:t>COMMUNITY AWARENESS</w:t>
      </w:r>
    </w:p>
    <w:p>
      <w:pPr>
        <w:spacing w:after="120"/>
        <w:ind w:left="1152"/>
      </w:pPr>
      <w:r>
        <w:rPr>
          <w:b/>
          <w:color w:val="B41414"/>
          <w:sz w:val="26"/>
        </w:rPr>
        <w:t xml:space="preserve">•  </w:t>
      </w:r>
      <w:r>
        <w:rPr>
          <w:rFonts w:ascii="Times New Roman" w:hAnsi="Times New Roman"/>
          <w:b/>
          <w:sz w:val="25"/>
        </w:rPr>
        <w:t>PLACE 1:RENIGUNTA</w:t>
      </w:r>
    </w:p>
    <w:p>
      <w:pPr>
        <w:spacing w:after="120"/>
        <w:ind w:left="1152"/>
      </w:pPr>
      <w:r>
        <w:rPr>
          <w:b/>
          <w:color w:val="B41414"/>
          <w:sz w:val="26"/>
        </w:rPr>
        <w:t xml:space="preserve">•  </w:t>
      </w:r>
      <w:r>
        <w:rPr>
          <w:rFonts w:ascii="Times New Roman" w:hAnsi="Times New Roman"/>
          <w:b/>
          <w:sz w:val="25"/>
        </w:rPr>
        <w:t>ADVANTAGES AND DISADVANTAGES</w:t>
      </w:r>
    </w:p>
    <w:p>
      <w:pPr>
        <w:spacing w:after="120"/>
        <w:ind w:left="1152"/>
      </w:pPr>
      <w:r>
        <w:rPr>
          <w:b/>
          <w:color w:val="B41414"/>
          <w:sz w:val="26"/>
        </w:rPr>
        <w:t xml:space="preserve">•  </w:t>
      </w:r>
      <w:r>
        <w:rPr>
          <w:rFonts w:ascii="Times New Roman" w:hAnsi="Times New Roman"/>
          <w:b/>
          <w:sz w:val="25"/>
        </w:rPr>
        <w:t>PROBLEMS WE OBSERVED</w:t>
      </w:r>
    </w:p>
    <w:p>
      <w:pPr>
        <w:spacing w:after="120"/>
        <w:ind w:left="1152"/>
      </w:pPr>
      <w:r>
        <w:rPr>
          <w:b/>
          <w:color w:val="B41414"/>
          <w:sz w:val="26"/>
        </w:rPr>
        <w:t xml:space="preserve">•  </w:t>
      </w:r>
      <w:r>
        <w:rPr>
          <w:rFonts w:ascii="Times New Roman" w:hAnsi="Times New Roman"/>
          <w:b/>
          <w:sz w:val="25"/>
        </w:rPr>
        <w:t>CONCLUSION</w:t>
      </w:r>
    </w:p>
    <w:p>
      <w:pPr>
        <w:spacing w:after="120"/>
        <w:ind w:left="1152"/>
      </w:pPr>
      <w:r>
        <w:rPr>
          <w:b/>
          <w:color w:val="B41414"/>
          <w:sz w:val="26"/>
        </w:rPr>
        <w:t xml:space="preserve">•  </w:t>
      </w:r>
      <w:r>
        <w:rPr>
          <w:rFonts w:ascii="Times New Roman" w:hAnsi="Times New Roman"/>
          <w:b/>
          <w:sz w:val="25"/>
        </w:rPr>
        <w:t>REFERENCES</w:t>
      </w:r>
    </w:p>
    <w:p>
      <w:pPr>
        <w:spacing w:after="120"/>
        <w:ind w:left="1152"/>
      </w:pPr>
      <w:r>
        <w:rPr>
          <w:b/>
          <w:color w:val="B41414"/>
          <w:sz w:val="26"/>
        </w:rPr>
        <w:t xml:space="preserve">•  </w:t>
      </w:r>
      <w:r>
        <w:rPr>
          <w:rFonts w:ascii="Times New Roman" w:hAnsi="Times New Roman"/>
          <w:b/>
          <w:sz w:val="25"/>
        </w:rPr>
        <w:t>QUERIES??</w:t>
      </w:r>
    </w:p>
    <w:p>
      <w:pPr>
        <w:spacing w:after="120"/>
        <w:ind w:left="1152"/>
      </w:pPr>
      <w:r>
        <w:rPr>
          <w:b/>
          <w:color w:val="B41414"/>
          <w:sz w:val="26"/>
        </w:rPr>
        <w:t xml:space="preserve">•  </w:t>
      </w:r>
      <w:r>
        <w:rPr>
          <w:rFonts w:ascii="Times New Roman" w:hAnsi="Times New Roman"/>
          <w:b/>
          <w:sz w:val="25"/>
        </w:rPr>
        <w:t>Thank You!!</w:t>
      </w:r>
    </w:p>
    <w:p>
      <w:r>
        <w:br w:type="page"/>
      </w:r>
    </w:p>
    <w:p>
      <w:pPr>
        <w:keepNext/>
        <w:spacing w:before="240" w:after="120"/>
        <w:jc w:val="left"/>
      </w:pPr>
      <w:r>
        <w:rPr>
          <w:rFonts w:ascii="Times New Roman" w:hAnsi="Times New Roman"/>
          <w:b/>
          <w:i w:val="0"/>
          <w:sz w:val="32"/>
        </w:rPr>
        <w:t>ABSTRACT</w:t>
      </w:r>
    </w:p>
    <w:p>
      <w:pPr>
        <w:spacing w:line="360" w:lineRule="auto" w:after="120"/>
        <w:jc w:val="both"/>
      </w:pPr>
      <w:r>
        <w:rPr>
          <w:rFonts w:ascii="Times New Roman" w:hAnsi="Times New Roman"/>
          <w:sz w:val="24"/>
        </w:rPr>
        <w:t>The community service project titled "Electrify the Future: Promoting Safe Electricity Uses in Schools" addresses critical electrical safety concerns within educational environments. Unsafe electrical practices in schools, such as overloaded sockets, damaged cords, loose plugs, and short circuits, present severe risks including electric shocks, burns, and potential fires.</w:t>
      </w:r>
    </w:p>
    <w:p>
      <w:pPr>
        <w:spacing w:line="360" w:lineRule="auto" w:after="120"/>
        <w:jc w:val="both"/>
      </w:pPr>
      <w:r>
        <w:rPr>
          <w:rFonts w:ascii="Times New Roman" w:hAnsi="Times New Roman"/>
          <w:sz w:val="24"/>
        </w:rPr>
        <w:t>The primary objectives of this initiative are to raise awareness to prevent shocks and fires, enable participants to spot hazards, prevent overloads, provide practical training, encourage the reporting of issues, and improve emergency response protocols.</w:t>
      </w:r>
    </w:p>
    <w:p>
      <w:pPr>
        <w:spacing w:line="360" w:lineRule="auto" w:after="120"/>
        <w:jc w:val="both"/>
      </w:pPr>
      <w:r>
        <w:rPr>
          <w:rFonts w:ascii="Times New Roman" w:hAnsi="Times New Roman"/>
          <w:sz w:val="24"/>
        </w:rPr>
        <w:t>To achieve these goals, the methodology incorporates community outreach workshops, educational posters, interactive safety sessions, and field observations. The target audience and scope encompass students and staff within educational institutions, focusing on imparting actionable safety knowledge and practical prevention techniques.</w:t>
      </w:r>
    </w:p>
    <w:p>
      <w:r>
        <w:br w:type="page"/>
      </w:r>
    </w:p>
    <w:p>
      <w:pPr>
        <w:keepNext/>
        <w:spacing w:before="240" w:after="120"/>
        <w:jc w:val="left"/>
      </w:pPr>
      <w:r>
        <w:rPr>
          <w:rFonts w:ascii="Times New Roman" w:hAnsi="Times New Roman"/>
          <w:b/>
          <w:i w:val="0"/>
          <w:sz w:val="32"/>
        </w:rPr>
        <w:t>INTRODUCTION</w:t>
      </w:r>
    </w:p>
    <w:p>
      <w:pPr>
        <w:spacing w:line="360" w:lineRule="auto" w:after="120"/>
        <w:jc w:val="both"/>
      </w:pPr>
      <w:r>
        <w:rPr>
          <w:rFonts w:ascii="Times New Roman" w:hAnsi="Times New Roman"/>
          <w:sz w:val="24"/>
        </w:rPr>
        <w:t>Electrical safety within educational institutions is a critical concern that directly impacts the well-being of students, faculty, and staff. Educational facilities house numerous electrical systems and appliances that are utilized daily. When these systems are operated without adequate awareness or proper precautions, severe risks emerge. Unsafe electrical practices in schools can result in hazardous incidents such as electrical shocks, burns, short circuits, and fires.</w:t>
      </w:r>
    </w:p>
    <w:p>
      <w:pPr>
        <w:spacing w:line="360" w:lineRule="auto" w:after="120"/>
        <w:jc w:val="both"/>
      </w:pPr>
      <w:r>
        <w:rPr>
          <w:rFonts w:ascii="Times New Roman" w:hAnsi="Times New Roman"/>
          <w:sz w:val="24"/>
        </w:rPr>
        <w:t>The significance of electrical safety education in schools cannot be overstated. Educational institutions serve as foundational environments where students and staff form lifelong habits. Promoting safe electricity uses ensures that the school community recognizes potential dangers before they escalate into emergencies. Common electrical hazards frequently encountered in school settings include overloaded sockets, damaged cords, and loose plugs. Addressing these vulnerabilities requires proactive education and consistent monitoring to prevent accidents.</w:t>
      </w:r>
    </w:p>
    <w:p>
      <w:pPr>
        <w:spacing w:line="360" w:lineRule="auto" w:after="120"/>
        <w:jc w:val="both"/>
      </w:pPr>
      <w:r>
        <w:rPr>
          <w:rFonts w:ascii="Times New Roman" w:hAnsi="Times New Roman"/>
          <w:sz w:val="24"/>
        </w:rPr>
        <w:t>To counteract these risks, structured initiatives focused on safety awareness are essential. The project 'Electrify the Future: Promoting Safe Electricity Uses in Schools' addresses these challenges by highlighting the underlying dangers of unsafe electrical practices and fostering a culture of safety and preparedness.</w:t>
      </w:r>
    </w:p>
    <w:p>
      <w:r>
        <w:br w:type="page"/>
      </w:r>
    </w:p>
    <w:p>
      <w:pPr>
        <w:keepNext/>
        <w:spacing w:before="240" w:after="120"/>
        <w:jc w:val="left"/>
      </w:pPr>
      <w:r>
        <w:rPr>
          <w:rFonts w:ascii="Times New Roman" w:hAnsi="Times New Roman"/>
          <w:b/>
          <w:i w:val="0"/>
          <w:sz w:val="32"/>
        </w:rPr>
        <w:t>OBJECTIVES</w:t>
      </w:r>
    </w:p>
    <w:p>
      <w:pPr>
        <w:spacing w:line="360" w:lineRule="auto" w:after="120"/>
        <w:jc w:val="both"/>
      </w:pPr>
      <w:r>
        <w:rPr>
          <w:rFonts w:ascii="Times New Roman" w:hAnsi="Times New Roman"/>
          <w:sz w:val="24"/>
        </w:rPr>
        <w:t>The primary aim of the community service project is to establish comprehensive safety standards and promote secure electricity usage practices within educational environments. To address the risks associated with unsafe electrical practices—such as electric shocks, burns, short circuits, fires, overloaded sockets, damaged cords, and loose plugs—the project establishes several specific goals and aims.</w:t>
      </w:r>
    </w:p>
    <w:p>
      <w:pPr>
        <w:spacing w:line="360" w:lineRule="auto" w:after="120"/>
        <w:jc w:val="both"/>
      </w:pPr>
      <w:r>
        <w:rPr>
          <w:rFonts w:ascii="Times New Roman" w:hAnsi="Times New Roman"/>
          <w:sz w:val="24"/>
        </w:rPr>
        <w:t>The core objectives of the project are defined as follows:</w:t>
      </w:r>
    </w:p>
    <w:p>
      <w:pPr>
        <w:spacing w:line="360" w:lineRule="auto" w:after="120"/>
        <w:jc w:val="both"/>
      </w:pPr>
      <w:r>
        <w:rPr>
          <w:rFonts w:ascii="Times New Roman" w:hAnsi="Times New Roman"/>
          <w:sz w:val="24"/>
        </w:rPr>
      </w:r>
    </w:p>
    <w:p>
      <w:pPr>
        <w:keepNext/>
        <w:spacing w:before="240" w:after="120"/>
        <w:jc w:val="left"/>
      </w:pPr>
      <w:r>
        <w:rPr>
          <w:rFonts w:ascii="Times New Roman" w:hAnsi="Times New Roman"/>
          <w:b/>
          <w:i w:val="0"/>
          <w:sz w:val="32"/>
        </w:rPr>
        <w:t>COMMUNITY AWARENESS</w:t>
      </w:r>
    </w:p>
    <w:p>
      <w:pPr>
        <w:spacing w:line="360" w:lineRule="auto" w:after="120"/>
        <w:jc w:val="both"/>
      </w:pPr>
      <w:r>
        <w:rPr>
          <w:rFonts w:ascii="Times New Roman" w:hAnsi="Times New Roman"/>
          <w:sz w:val="24"/>
        </w:rPr>
        <w:t>Fostering community awareness regarding electrical safety constitutes a core component of the project methodology. To address the inherent dangers of unsafe electrical practices in schools—such as electrical shocks, burns, short circuits, fires, overloaded sockets, damaged cords, and loose plugs—a structured outreach strategy was developed and deployed.</w:t>
      </w:r>
    </w:p>
    <w:p>
      <w:pPr>
        <w:keepNext/>
        <w:spacing w:before="240" w:after="120"/>
        <w:jc w:val="left"/>
      </w:pPr>
      <w:r>
        <w:rPr>
          <w:rFonts w:ascii="Times New Roman" w:hAnsi="Times New Roman"/>
          <w:b/>
          <w:i w:val="0"/>
          <w:sz w:val="26"/>
        </w:rPr>
        <w:t>Community Outreach Strategy</w:t>
      </w:r>
    </w:p>
    <w:p>
      <w:pPr>
        <w:spacing w:line="360" w:lineRule="auto" w:after="120"/>
        <w:jc w:val="both"/>
      </w:pPr>
      <w:r>
        <w:rPr>
          <w:rFonts w:ascii="Times New Roman" w:hAnsi="Times New Roman"/>
          <w:sz w:val="24"/>
        </w:rPr>
        <w:t>The community outreach strategy utilizes multiple engagement vectors to educate students and staff on recognizing and mitigating electrical hazards. By integrating field observations with direct community interaction, the approach ensures that participants can actively spot potential hazards, prevent circuit overloads, and understand proper reporting procedures for electrical issues.</w:t>
      </w:r>
    </w:p>
    <w:p>
      <w:pPr>
        <w:keepNext/>
        <w:spacing w:before="240" w:after="120"/>
        <w:jc w:val="left"/>
      </w:pPr>
      <w:r>
        <w:rPr>
          <w:rFonts w:ascii="Times New Roman" w:hAnsi="Times New Roman"/>
          <w:b/>
          <w:i w:val="0"/>
          <w:sz w:val="26"/>
        </w:rPr>
        <w:t>Educational Poster Designs and Messaging</w:t>
      </w:r>
    </w:p>
    <w:p>
      <w:pPr>
        <w:spacing w:line="360" w:lineRule="auto" w:after="120"/>
        <w:jc w:val="both"/>
      </w:pPr>
      <w:r>
        <w:rPr>
          <w:rFonts w:ascii="Times New Roman" w:hAnsi="Times New Roman"/>
          <w:sz w:val="24"/>
        </w:rPr>
        <w:t>Visual communication plays an essential role in reinforcing safety guidelines within school environments. Educational posters were designed to highlight critical safety warnings, including the prevention of electrical shocks and fires, the dangers of overloaded sockets, and the hazards associated with damaged cords and loose plugs. These visual assets serve as constant reminders for students and staff to maintain vigilance over their immediate electrical surroundings.</w:t>
      </w:r>
    </w:p>
    <w:p>
      <w:pPr>
        <w:keepNext/>
        <w:spacing w:before="240" w:after="120"/>
        <w:jc w:val="left"/>
      </w:pPr>
      <w:r>
        <w:rPr>
          <w:rFonts w:ascii="Times New Roman" w:hAnsi="Times New Roman"/>
          <w:b/>
          <w:i w:val="0"/>
          <w:sz w:val="26"/>
        </w:rPr>
        <w:t>Interactive Safety Session Frameworks</w:t>
      </w:r>
    </w:p>
    <w:p>
      <w:pPr>
        <w:spacing w:line="360" w:lineRule="auto" w:after="120"/>
        <w:jc w:val="both"/>
      </w:pPr>
      <w:r>
        <w:rPr>
          <w:rFonts w:ascii="Times New Roman" w:hAnsi="Times New Roman"/>
          <w:sz w:val="24"/>
        </w:rPr>
        <w:t>To move beyond passive awareness, interactive safety sessions were incorporated into the awareness framework. These sessions provide practical training to empower participants to respond appropriately during electrical emergencies. Through guided discussions and interactive exercises, attendees learn actionable steps for hazard identification, emergency response, and safe electricity use.</w:t>
      </w:r>
    </w:p>
    <w:p>
      <w:r>
        <w:br w:type="page"/>
      </w:r>
    </w:p>
    <w:p>
      <w:pPr>
        <w:keepNext/>
        <w:spacing w:before="240" w:after="120"/>
        <w:jc w:val="left"/>
      </w:pPr>
      <w:r>
        <w:rPr>
          <w:rFonts w:ascii="Times New Roman" w:hAnsi="Times New Roman"/>
          <w:b/>
          <w:i w:val="0"/>
          <w:sz w:val="32"/>
        </w:rPr>
        <w:t>PLACE 1:RENIGUNTA</w:t>
      </w:r>
    </w:p>
    <w:p>
      <w:pPr>
        <w:spacing w:line="360" w:lineRule="auto" w:after="120"/>
        <w:jc w:val="both"/>
      </w:pPr>
      <w:r>
        <w:rPr>
          <w:rFonts w:ascii="Times New Roman" w:hAnsi="Times New Roman"/>
          <w:sz w:val="24"/>
        </w:rPr>
        <w:t>Field activities conducted at the primary target location, Renigunta, formed a central component of the community service project focused on promoting safe electricity uses in schools. The initiative was structured around community outreach workshops, educational posters, interactive safety sessions, and field observations to address hazardous conditions such as overloaded sockets, damaged cords, and loose plugs that can result in shocks, burns, short circuits, and fires.</w:t>
      </w:r>
    </w:p>
    <w:p>
      <w:pPr>
        <w:spacing w:line="360" w:lineRule="auto" w:after="120"/>
        <w:jc w:val="both"/>
      </w:pPr>
      <w:r>
        <w:rPr>
          <w:rFonts w:ascii="Times New Roman" w:hAnsi="Times New Roman"/>
          <w:sz w:val="24"/>
        </w:rPr>
        <w:t>During the school visits and interaction details in Renigunta, project participants engaged directly with students and school staff to raise awareness regarding electrical safety. The methodology emphasized practical training and education to enable students to spot hazards, prevent overloads, properly respond to emergencies, and report electrical issues before they escalate into dangerous situations.</w:t>
      </w:r>
    </w:p>
    <w:p>
      <w:pPr>
        <w:spacing w:line="360" w:lineRule="auto" w:after="120"/>
        <w:jc w:val="both"/>
      </w:pPr>
      <w:r>
        <w:rPr>
          <w:rFonts w:ascii="Times New Roman" w:hAnsi="Times New Roman"/>
          <w:sz w:val="24"/>
        </w:rPr>
        <w:t>The implementation of safety sessions and demonstrations involved explaining fundamental safety principles and illustrating correct electrical handling practices. Educational posters were utilized as visual aids during these sessions to reinforce key concepts, while field observations allowed the team to assess existing conditions and ensure that the awareness program effectively addressed the practical challenges present in the school environment.</w:t>
      </w:r>
    </w:p>
    <w:p>
      <w:r>
        <w:br w:type="page"/>
      </w:r>
    </w:p>
    <w:p>
      <w:pPr>
        <w:keepNext/>
        <w:spacing w:before="240" w:after="120"/>
        <w:jc w:val="left"/>
      </w:pPr>
      <w:r>
        <w:rPr>
          <w:rFonts w:ascii="Times New Roman" w:hAnsi="Times New Roman"/>
          <w:b/>
          <w:i w:val="0"/>
          <w:sz w:val="32"/>
        </w:rPr>
        <w:t>ADVANTAGES AND DISADVANTAGES</w:t>
      </w:r>
    </w:p>
    <w:p>
      <w:pPr>
        <w:spacing w:line="360" w:lineRule="auto" w:after="120"/>
        <w:jc w:val="both"/>
      </w:pPr>
      <w:r>
        <w:rPr>
          <w:rFonts w:ascii="Times New Roman" w:hAnsi="Times New Roman"/>
          <w:sz w:val="24"/>
        </w:rPr>
        <w:t>The implemented community service approach for promoting safe electricity uses in schools presents several distinct advantages. By utilizing interactive safety sessions and practical training, the initiative directly engages students rather than relying solely on passive instruction. These interactive sessions foster an environment where participants can actively learn how to spot hazards, prevent overloads, and understand emergency response protocols. Furthermore, the combination of community outreach workshops and educational posters reinforces key concepts visually and textually, ensuring that students retain essential knowledge regarding electrical safety. Raising awareness early effectively targets the prevention of electrical shocks, burns, short circuits, fires, overloaded sockets, damaged cords, and loose plugs within the school environment.</w:t>
      </w:r>
    </w:p>
    <w:p>
      <w:pPr>
        <w:spacing w:line="360" w:lineRule="auto" w:after="120"/>
        <w:jc w:val="both"/>
      </w:pPr>
      <w:r>
        <w:rPr>
          <w:rFonts w:ascii="Times New Roman" w:hAnsi="Times New Roman"/>
          <w:sz w:val="24"/>
        </w:rPr>
        <w:t>Despite these significant benefits, the approach also encounters certain limitations and constraints. Field observations and school outreach efforts require considerable logistical coordination and time investment to reach all target classrooms effectively. While educational materials and practical training sessions successfully convey general safety principles, maintaining long-term behavioral changes among students regarding electrical safety presents an ongoing challenge. Additionally, structural constraints within school environments, such as pre-existing damaged cords or overloaded sockets, require continuous monitoring beyond the scope of initial workshops.</w:t>
      </w:r>
    </w:p>
    <w:p>
      <w:r>
        <w:br w:type="page"/>
      </w:r>
    </w:p>
    <w:p>
      <w:pPr>
        <w:keepNext/>
        <w:spacing w:before="240" w:after="120"/>
        <w:jc w:val="left"/>
      </w:pPr>
      <w:r>
        <w:rPr>
          <w:rFonts w:ascii="Times New Roman" w:hAnsi="Times New Roman"/>
          <w:b/>
          <w:i w:val="0"/>
          <w:sz w:val="32"/>
        </w:rPr>
        <w:t>PROBLEMS WE OBSERVED</w:t>
      </w:r>
    </w:p>
    <w:p>
      <w:pPr>
        <w:spacing w:line="360" w:lineRule="auto" w:after="120"/>
        <w:jc w:val="both"/>
      </w:pPr>
      <w:r>
        <w:rPr>
          <w:rFonts w:ascii="Times New Roman" w:hAnsi="Times New Roman"/>
          <w:sz w:val="24"/>
        </w:rPr>
        <w:t>During field observations and school inspections, several critical electrical hazards and unsafe practices were identified. These issues pose significant risks to students, staff, and the overall educational environment, necessitating immediate intervention and structured safety awareness initiatives.</w:t>
      </w:r>
    </w:p>
    <w:p>
      <w:pPr>
        <w:keepNext/>
        <w:spacing w:before="240" w:after="120"/>
        <w:jc w:val="left"/>
      </w:pPr>
      <w:r>
        <w:rPr>
          <w:rFonts w:ascii="Times New Roman" w:hAnsi="Times New Roman"/>
          <w:b/>
          <w:i w:val="0"/>
          <w:sz w:val="26"/>
        </w:rPr>
        <w:t>Unsafe Electrical Practices and Operational Hazards</w:t>
      </w:r>
    </w:p>
    <w:p>
      <w:pPr>
        <w:spacing w:line="360" w:lineRule="auto" w:after="120"/>
        <w:jc w:val="both"/>
      </w:pPr>
      <w:r>
        <w:rPr>
          <w:rFonts w:ascii="Times New Roman" w:hAnsi="Times New Roman"/>
          <w:sz w:val="24"/>
        </w:rPr>
        <w:t>The primary problem statement highlights widespread unsafe electrical practices within schools. Field observations revealed multiple hazardous conditions that directly contribute to the risk of electrical shocks, burns, short circuits, and potential fires.</w:t>
      </w:r>
    </w:p>
    <w:p>
      <w:pPr>
        <w:spacing w:line="360" w:lineRule="auto" w:after="120"/>
        <w:jc w:val="both"/>
      </w:pPr>
      <w:r>
        <w:rPr>
          <w:rFonts w:ascii="Times New Roman" w:hAnsi="Times New Roman"/>
          <w:sz w:val="24"/>
        </w:rPr>
        <w:t>The specific electrical issues observed during site visits include:</w:t>
      </w:r>
    </w:p>
    <w:p>
      <w:r>
        <w:br w:type="page"/>
      </w:r>
    </w:p>
    <w:p>
      <w:pPr>
        <w:keepNext/>
        <w:spacing w:before="240" w:after="120"/>
        <w:jc w:val="left"/>
      </w:pPr>
      <w:r>
        <w:rPr>
          <w:rFonts w:ascii="Times New Roman" w:hAnsi="Times New Roman"/>
          <w:b/>
          <w:i w:val="0"/>
          <w:sz w:val="32"/>
        </w:rPr>
        <w:t>CONCLUSION</w:t>
      </w:r>
    </w:p>
    <w:p>
      <w:pPr>
        <w:spacing w:line="360" w:lineRule="auto" w:after="120"/>
        <w:jc w:val="both"/>
      </w:pPr>
      <w:r>
        <w:rPr>
          <w:rFonts w:ascii="Times New Roman" w:hAnsi="Times New Roman"/>
          <w:sz w:val="24"/>
        </w:rPr>
        <w:t>The community service project titled "Electrify the Future: Promoting Safe Electricity Uses in Schools" successfully addressed critical safety challenges within educational environments. By focusing on the mitigation of unsafe electrical practices—such as overloaded sockets, damaged cords, loose plugs, short circuits, and potential fire hazards—the initiative directly targeted the root causes of shocks and burns in schools.</w:t>
      </w:r>
    </w:p>
    <w:p>
      <w:pPr>
        <w:spacing w:line="360" w:lineRule="auto" w:after="120"/>
        <w:jc w:val="both"/>
      </w:pPr>
      <w:r>
        <w:rPr>
          <w:rFonts w:ascii="Times New Roman" w:hAnsi="Times New Roman"/>
          <w:sz w:val="24"/>
        </w:rPr>
        <w:t>Through a structured methodology involving community outreach workshops, educational posters, interactive safety sessions, and field observations, the project accomplished its core objectives. Participants achieved a heightened level of hazard awareness, gaining the practical skills necessary to spot electrical dangers, prevent circuit overloads, report issues promptly, and respond effectively during emergencies.</w:t>
      </w:r>
    </w:p>
    <w:p>
      <w:pPr>
        <w:spacing w:line="360" w:lineRule="auto" w:after="120"/>
        <w:jc w:val="both"/>
      </w:pPr>
      <w:r>
        <w:rPr>
          <w:rFonts w:ascii="Times New Roman" w:hAnsi="Times New Roman"/>
          <w:sz w:val="24"/>
        </w:rPr>
        <w:t>Looking forward, sustaining electrical safety programs requires continuous engagement and structured maintenance protocols to ensure long-term protection in school facilities.</w:t>
      </w:r>
    </w:p>
    <w:p>
      <w:r>
        <w:br w:type="page"/>
      </w:r>
    </w:p>
    <w:p>
      <w:pPr>
        <w:keepNext/>
        <w:spacing w:before="240" w:after="120"/>
        <w:jc w:val="left"/>
      </w:pPr>
      <w:r>
        <w:rPr>
          <w:rFonts w:ascii="Times New Roman" w:hAnsi="Times New Roman"/>
          <w:b/>
          <w:i w:val="0"/>
          <w:sz w:val="32"/>
        </w:rPr>
        <w:t>REFERENCES</w:t>
      </w:r>
    </w:p>
    <w:p>
      <w:pPr>
        <w:spacing w:line="360" w:lineRule="auto" w:after="120"/>
        <w:jc w:val="both"/>
      </w:pPr>
      <w:r>
        <w:rPr>
          <w:rFonts w:ascii="Times New Roman" w:hAnsi="Times New Roman"/>
          <w:sz w:val="24"/>
        </w:rPr>
        <w:t>This section is reserved for listing external resources, electrical safety codes, educational materials, and safety manuals referenced during the community outreach and educational workshops on promoting safe electricity uses in schools. Specific citations and reference materials will be incorporated following the finalization of the standardized training manuals and safety guidelines.</w:t>
      </w:r>
    </w:p>
    <w:p>
      <w:r>
        <w:br w:type="page"/>
      </w:r>
    </w:p>
    <w:p>
      <w:pPr>
        <w:keepNext/>
        <w:spacing w:before="240" w:after="120"/>
        <w:jc w:val="left"/>
      </w:pPr>
      <w:r>
        <w:rPr>
          <w:rFonts w:ascii="Times New Roman" w:hAnsi="Times New Roman"/>
          <w:b/>
          <w:i w:val="0"/>
          <w:sz w:val="32"/>
        </w:rPr>
        <w:t>QUERIES??</w:t>
      </w:r>
    </w:p>
    <w:p>
      <w:pPr>
        <w:spacing w:line="360" w:lineRule="auto" w:after="120"/>
        <w:jc w:val="both"/>
      </w:pPr>
      <w:r>
        <w:rPr>
          <w:rFonts w:ascii="Times New Roman" w:hAnsi="Times New Roman"/>
          <w:sz w:val="24"/>
        </w:rPr>
        <w:t>This section serves as a designated space for addressing open inquiries, feedback, and questions concerning the project on promoting safe electricity uses in schools. Stakeholders, educators, and community members may review the documented methodology, outreach workshops, and educational materials to raise questions regarding hazard identification, overload prevention, and emergency response procedures.</w:t>
      </w:r>
    </w:p>
    <w:p>
      <w:pPr>
        <w:spacing w:line="360" w:lineRule="auto" w:after="120"/>
        <w:jc w:val="both"/>
      </w:pPr>
      <w:r>
        <w:rPr>
          <w:rFonts w:ascii="Times New Roman" w:hAnsi="Times New Roman"/>
          <w:sz w:val="24"/>
        </w:rPr>
        <w:t>Inquiries regarding the practical training sessions, field observations, and strategies implemented to prevent electrical shocks, burns, short circuits, and fires can be directed through established communication channels with the project organizers.</w:t>
      </w:r>
    </w:p>
    <w:p>
      <w:r>
        <w:br w:type="page"/>
      </w:r>
    </w:p>
    <w:p>
      <w:pPr>
        <w:keepNext/>
        <w:spacing w:before="240" w:after="120"/>
        <w:jc w:val="left"/>
      </w:pPr>
      <w:r>
        <w:rPr>
          <w:rFonts w:ascii="Times New Roman" w:hAnsi="Times New Roman"/>
          <w:b/>
          <w:i w:val="0"/>
          <w:sz w:val="32"/>
        </w:rPr>
        <w:t>Thank You!!</w:t>
      </w:r>
    </w:p>
    <w:p>
      <w:pPr>
        <w:spacing w:line="360" w:lineRule="auto" w:after="120"/>
        <w:jc w:val="both"/>
      </w:pPr>
      <w:r>
        <w:rPr>
          <w:rFonts w:ascii="Times New Roman" w:hAnsi="Times New Roman"/>
          <w:sz w:val="24"/>
        </w:rPr>
        <w:t>The successful completion of the project titled "Electrify the Future: Promoting Safe Electricity Uses in Schools" would not have been possible without the guidance, support, and cooperation of several individuals and institutions. Sincere gratitude is extended to the academic institution and the department for providing the necessary infrastructure, resources, and environment required to undertake this community-focused educational initiative.</w:t>
      </w:r>
    </w:p>
    <w:p>
      <w:pPr>
        <w:spacing w:line="360" w:lineRule="auto" w:after="120"/>
        <w:jc w:val="both"/>
      </w:pPr>
      <w:r>
        <w:rPr>
          <w:rFonts w:ascii="Times New Roman" w:hAnsi="Times New Roman"/>
          <w:sz w:val="24"/>
        </w:rPr>
        <w:t>Special appreciation is expressed to the project guide for continuous mentoring, valuable insights, and constant encouragement throughout the course of this work. Their expertise and feedback ensured the proper structuring and execution of the community outreach workshops, educational posters, interactive safety sessions, and field observations.</w:t>
      </w:r>
    </w:p>
    <w:p>
      <w:pPr>
        <w:spacing w:line="360" w:lineRule="auto" w:after="120"/>
        <w:jc w:val="both"/>
      </w:pPr>
      <w:r>
        <w:rPr>
          <w:rFonts w:ascii="Times New Roman" w:hAnsi="Times New Roman"/>
          <w:sz w:val="24"/>
        </w:rPr>
        <w:t>Gratitude is also extended to the school communities, administrative staff, teachers, and participants who welcomed the project and actively engaged in raising awareness to prevent shocks and fires, spot hazards, prevent overloads, and learn practical training, emergency response, and issue reporting. Their collaboration was vital in fulfilling the objectives of promoting safe electricity uses in schools.</w:t>
      </w:r>
    </w:p>
    <w:sectPr w:rsidR="00FC693F" w:rsidRPr="0006063C" w:rsidSect="00034616">
      <w:footerReference w:type="default" r:id="rId9"/>
      <w:headerReference w:type="default" r:id="rId10"/>
      <w:pgSz w:w="14400" w:h="1080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