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Семинар 6 2021 Инвестиции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Показатели эффективности инвестиций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Основные концепции темы: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дисконтирование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чистая текущая ценность инвестиционного проекта (net present value, NPV)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внутренняя норма доходности инвестиционного проекта (internal rate of return, IRR)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окупаемости (payback period, PP)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средневзвешенная стоимость капитала (WACC)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учет риска при оценке эффективности инвестиционного проекта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общественные эффекты инвестиционных проектов и их оценка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Задания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single"/>
          <w:shd w:fill="fff6f1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single"/>
          <w:shd w:fill="fff6f1" w:val="clear"/>
          <w:vertAlign w:val="baseline"/>
          <w:rtl w:val="0"/>
        </w:rPr>
        <w:t xml:space="preserve">Решите задачу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«Компания в 2013 г. построила контейнерный терминал мощностью 600 тыс. TEU (20-футовых контейнеров) в год. Стоимость проекта составила $160 млн. Инвесторы рассчитывали на доходность на уровне 12% в год. 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Ставка перевалки контейнера была установлена на уровне $150 на перевалку одного контейнера. Расчетная загрузка контейнерного терминала составляла 475 тыс. в год, и при такой загрузке средние издержки в расчете на контейнер должны были составлять $50. Однако в 2014 г. в связи со снижением цен на нефть, санкций против России и снижением объема внешней торговли загрузка терминала сократилась до 300 тыс. в год. При этом средние издержки в расчете на контейнер выросли до $60.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Определите, как снижение спроса на перевалку контейнеров повлияло на срок окупаемости инвестиционного проекта;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О какой структуре затрат контейнерного терминала свидетельствует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повышение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средних издержек вслед за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снижением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объема перевалки?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Если инвестор рассчитывал на окупаемость в течение срока 8 лет, является ли инвестиционный проект привлекательным при базовом сценарии спроса? При кризисном сценарии спроса?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fff6f1" w:val="clear"/>
          <w:vertAlign w:val="baseline"/>
          <w:rtl w:val="0"/>
        </w:rPr>
        <w:t xml:space="preserve">Прокомментируйте, каким образом структура издержек в отрасли влияет на привлекательность инвестиционных проектов.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center" w:pos="4677"/>
        </w:tabs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2. Решите задачу </w:t>
        <w:tab/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«В порту Приморск строится универсальный перегрузочный терминал. Инвестиции в проект оцениваются в 77 млрд руб., окупаемость – 16 лет. Инвестиции в первый этап составят около 50 млрд руб., во второй – 14 млрд руб., в третий – 12 млрд руб.» (Ведомости, 31 марта 2017 г.) </w:t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Предполагая, что </w:t>
      </w:r>
    </w:p>
    <w:p w:rsidR="00000000" w:rsidDel="00000000" w:rsidP="00000000" w:rsidRDefault="00000000" w:rsidRPr="00000000" w14:paraId="0000001D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(а) инвестиции первого этапа происходят в нулевом году (то есть до поступления первой чистой выручки) </w:t>
      </w:r>
    </w:p>
    <w:p w:rsidR="00000000" w:rsidDel="00000000" w:rsidP="00000000" w:rsidRDefault="00000000" w:rsidRPr="00000000" w14:paraId="0000001E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(б) инвестиции второго этапа происходят в третьем году; </w:t>
      </w:r>
    </w:p>
    <w:p w:rsidR="00000000" w:rsidDel="00000000" w:rsidP="00000000" w:rsidRDefault="00000000" w:rsidRPr="00000000" w14:paraId="0000001F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(в) инвестиции третьего этапа происходят в шестом году; </w:t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(г) выручка поступает с первого по шестнадцатый год равномерно; 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(д) ставка дисконтирования (средневзвешенная стоимость капитала – WACC) составляет 15%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(1) определите ожидаемую величину годовой чистой выручки в течение срока проекта; </w:t>
      </w:r>
    </w:p>
    <w:p w:rsidR="00000000" w:rsidDel="00000000" w:rsidP="00000000" w:rsidRDefault="00000000" w:rsidRPr="00000000" w14:paraId="00000023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(2) постройте график изменения NPV проекта во времени; 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(3) как изменится ответ на вопрос (1), если средневзвешенная стоимость капитала повысится до 17%?  </w:t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3. Прочитайте материал, посвященный QALY и оценке стоимости человеческого капитала в России  </w:t>
      </w:r>
    </w:p>
    <w:p w:rsidR="00000000" w:rsidDel="00000000" w:rsidP="00000000" w:rsidRDefault="00000000" w:rsidRPr="00000000" w14:paraId="00000027">
      <w:pPr>
        <w:spacing w:after="0" w:lineRule="auto"/>
        <w:ind w:firstLine="30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4"/>
          <w:szCs w:val="24"/>
          <w:rtl w:val="0"/>
        </w:rPr>
        <w:t xml:space="preserve">QALY (quality-adjustedlifeyear) – показатель для измерения ущерба от болезни (а, следовательно, и выигрыша от лечения).  Расчет QALY:</w:t>
      </w:r>
    </w:p>
    <w:p w:rsidR="00000000" w:rsidDel="00000000" w:rsidP="00000000" w:rsidRDefault="00000000" w:rsidRPr="00000000" w14:paraId="00000028">
      <w:pPr>
        <w:spacing w:after="0" w:lineRule="auto"/>
        <w:ind w:firstLine="300"/>
        <w:jc w:val="center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4"/>
          <w:szCs w:val="24"/>
          <w:rtl w:val="0"/>
        </w:rPr>
        <w:t xml:space="preserve">QALY = каждый год предстоящей жизни х ожидаемое качество жизни</w:t>
      </w:r>
    </w:p>
    <w:p w:rsidR="00000000" w:rsidDel="00000000" w:rsidP="00000000" w:rsidRDefault="00000000" w:rsidRPr="00000000" w14:paraId="00000029">
      <w:pPr>
        <w:spacing w:after="0" w:lineRule="auto"/>
        <w:ind w:firstLine="30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4"/>
          <w:szCs w:val="24"/>
          <w:rtl w:val="0"/>
        </w:rPr>
        <w:t xml:space="preserve">Ожидаемое качество жизни измеряется унифицированным образом в интервале от 0 до 1, где 0 соответствует смерти, а 1 –состоянию полного физического и психологического благополучия. Например, больной в течении 10 лет получает лечение, которое улучшает качество его жизни за 10 лет с 0,5 до 0,6 QALY . Этот больной приобретет 1,0 QALY , т.е. у него будут вместо пяти (10 лет х 0,5 = 5,0 в отсутствии лечения) шесть (10 лет х 0,6 = 6,0 при проведении данного лечения) QALY.</w:t>
      </w:r>
    </w:p>
    <w:p w:rsidR="00000000" w:rsidDel="00000000" w:rsidP="00000000" w:rsidRDefault="00000000" w:rsidRPr="00000000" w14:paraId="0000002A">
      <w:pPr>
        <w:spacing w:after="0" w:lineRule="auto"/>
        <w:ind w:firstLine="30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 2010 г. стоимость человеческого капитала в России составляла около 6 млн руб. в расчете на душу населения (</w:t>
      </w:r>
      <w:r w:rsidDel="00000000" w:rsidR="00000000" w:rsidRPr="00000000">
        <w:rPr>
          <w:rFonts w:ascii="Cousine" w:cs="Cousine" w:eastAsia="Cousine" w:hAnsi="Cousine"/>
          <w:i w:val="1"/>
          <w:sz w:val="24"/>
          <w:szCs w:val="24"/>
          <w:rtl w:val="0"/>
        </w:rPr>
        <w:t xml:space="preserve">Капелюшников Р.И. Сколько стоит человеческий капитал в России, 2013, №№ 1 -2)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Rule="auto"/>
        <w:ind w:firstLine="30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 (1) Пусть введение лекарственного препарата ежегодно будет повышать качество жизни 1 млн. пациентов с 0,3 до 0,6 по описанной шкале. Рассчитайте денежный эквивалент выигрыша от введения лекарственного препарата, используя предпосылку о том, что стоимость человеческого капитала равномерно распределена по 70 средней продолжительности жизни гражданина России. Исходите из предпосылки о том, что выигрыши будут поступать бесконечное время; 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(2) Какие расходы на разработку лекарственного препарата общественно оправданы, принимая ставку дисконтирования равной 10%?  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(3) Какие расходы на разработку лекарственного препарата оправданы для фармацевтической компании, если в среднем каждый из 1 млн. страдающих заболеванием готов платить за препарат не более 2 тыс. руб. в год. Считайте предельные издержки производства препарата нулевыми, а стоимость денег для компании равной тем же 10%.   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Georgia" w:cs="Georgia" w:eastAsia="Georgia" w:hAnsi="Georgia"/>
          <w:color w:val="333333"/>
          <w:sz w:val="24"/>
          <w:szCs w:val="24"/>
          <w:shd w:fill="fff6f1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(4) Охарактеризуйте проблемы измерения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shd w:fill="fff6f1" w:val="clear"/>
          <w:rtl w:val="0"/>
        </w:rPr>
        <w:t xml:space="preserve">общественной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ff6f1" w:val="clear"/>
          <w:rtl w:val="0"/>
        </w:rPr>
        <w:t xml:space="preserve">эффективности расходов, используя приведенный пример (но не обязательно ограничиваясь им).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