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ТЗ 01-ЛУ</w:t>
      </w:r>
    </w:p>
    <w:p>
      <w:pPr>
        <w:spacing w:line="240" w:lineRule="auto"/>
        <w:ind w:firstLine="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r/>
            <w:r/>
          </w:p>
        </w:tc>
        <w:tc>
          <w:tcPr>
            <w:tcW w:type="dxa" w:w="5102"/>
          </w:tcPr>
          <w:p>
            <w:r/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УТВЕРЖДАЮ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Силантьев Никита (владелец проекта)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______________ / Силантьев Н. /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«____» ______________ 2026 г.</w:t>
            </w:r>
          </w:p>
        </w:tc>
      </w:tr>
    </w:tbl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ТЕХНИЧЕСКОЕ ЗАДАНИЕ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ЛИСТ УТВЕРЖДЕНИЯ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ТЗ 01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40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подл.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Взам. инв. №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дубл.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</w:tr>
      <w:tr>
        <w:trPr>
          <w:trHeight w:val="794"/>
        </w:trP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ТЕХНИЧЕСКОЕ ЗАДАНИЕ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Кроссплатформенный мессенджер. Требования к программному изделию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ТЗ 01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40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2026</w:t>
      </w:r>
    </w:p>
    <w:p>
      <w:pPr>
        <w:pageBreakBefore/>
        <w:spacing w:line="360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СОДЕРЖАНИЕ</w:t>
      </w:r>
    </w:p>
    <w:p>
      <w:pPr>
        <w:pStyle w:val="toc1"/>
      </w:pPr>
      <w:r>
        <w:rPr>
          <w:rFonts w:ascii="Times New Roman" w:hAnsi="Times New Roman" w:eastAsia="Times New Roman" w:cs="Times New Roman"/>
        </w:rPr>
        <w:fldChar w:fldCharType="begin"/>
      </w:r>
      <w:r>
        <w:rPr>
          <w:rFonts w:ascii="Times New Roman" w:hAnsi="Times New Roman" w:eastAsia="Times New Roman" w:cs="Times New Roman"/>
        </w:rPr>
        <w:instrText xml:space="preserve"> TOC \o "1-2" \h \z \u </w:instrText>
      </w:r>
      <w:r>
        <w:rPr>
          <w:rFonts w:ascii="Times New Roman" w:hAnsi="Times New Roman" w:eastAsia="Times New Roman" w:cs="Times New Roman"/>
        </w:rPr>
        <w:fldChar w:fldCharType="separate"/>
      </w:r>
      <w:r>
        <w:rPr>
          <w:rFonts w:ascii="Times New Roman" w:hAnsi="Times New Roman" w:eastAsia="Times New Roman" w:cs="Times New Roman"/>
          <w:sz w:val="28"/>
        </w:rPr>
        <w:t>ВВЕДЕНИЕ</w:t>
      </w:r>
      <w:r>
        <w:rPr>
          <w:rFonts w:ascii="Times New Roman" w:hAnsi="Times New Roman" w:eastAsia="Times New Roman" w:cs="Times New Roman"/>
          <w:sz w:val="28"/>
        </w:rPr>
        <w:tab/>
        <w:t>3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1 ОСНОВАНИЯ ДЛЯ РАЗРАБОТКИ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1.1 Документ, на основании которого ведётся разработка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1.2 Наименование и обозначение разработки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1.3 Заказчик и исполнитель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1.4 Нормативные ссылки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2 НАЗНАЧЕНИЕ РАЗРАБОТКИ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 Функциональное назначение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2.2 Эксплуатационное назначение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2.3 Термины и определения</w:t>
      </w:r>
      <w:r>
        <w:rPr>
          <w:rFonts w:ascii="Times New Roman" w:hAnsi="Times New Roman" w:eastAsia="Times New Roman" w:cs="Times New Roman"/>
          <w:sz w:val="28"/>
        </w:rPr>
        <w:tab/>
        <w:t>10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2.4 Сокращения</w:t>
      </w:r>
      <w:r>
        <w:rPr>
          <w:rFonts w:ascii="Times New Roman" w:hAnsi="Times New Roman" w:eastAsia="Times New Roman" w:cs="Times New Roman"/>
          <w:sz w:val="28"/>
        </w:rPr>
        <w:tab/>
        <w:t>11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3 ТРЕБОВАНИЯ К ПРОГРАММНОМУ ИЗДЕЛИЮ</w:t>
      </w:r>
      <w:r>
        <w:rPr>
          <w:rFonts w:ascii="Times New Roman" w:hAnsi="Times New Roman" w:eastAsia="Times New Roman" w:cs="Times New Roman"/>
          <w:sz w:val="28"/>
        </w:rPr>
        <w:tab/>
        <w:t>12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3.1 Требования к функциональным характеристикам</w:t>
      </w:r>
      <w:r>
        <w:rPr>
          <w:rFonts w:ascii="Times New Roman" w:hAnsi="Times New Roman" w:eastAsia="Times New Roman" w:cs="Times New Roman"/>
          <w:sz w:val="28"/>
        </w:rPr>
        <w:tab/>
        <w:t>12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3.2 Требования к надёжности</w:t>
      </w:r>
      <w:r>
        <w:rPr>
          <w:rFonts w:ascii="Times New Roman" w:hAnsi="Times New Roman" w:eastAsia="Times New Roman" w:cs="Times New Roman"/>
          <w:sz w:val="28"/>
        </w:rPr>
        <w:tab/>
        <w:t>21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3.3 Условия эксплуатации</w:t>
      </w:r>
      <w:r>
        <w:rPr>
          <w:rFonts w:ascii="Times New Roman" w:hAnsi="Times New Roman" w:eastAsia="Times New Roman" w:cs="Times New Roman"/>
          <w:sz w:val="28"/>
        </w:rPr>
        <w:tab/>
        <w:t>22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3.4 Требования к составу и параметрам технических средств</w:t>
      </w:r>
      <w:r>
        <w:rPr>
          <w:rFonts w:ascii="Times New Roman" w:hAnsi="Times New Roman" w:eastAsia="Times New Roman" w:cs="Times New Roman"/>
          <w:sz w:val="28"/>
        </w:rPr>
        <w:tab/>
        <w:t>22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3.5 Требования к информационной и программной совместимости</w:t>
      </w:r>
      <w:r>
        <w:rPr>
          <w:rFonts w:ascii="Times New Roman" w:hAnsi="Times New Roman" w:eastAsia="Times New Roman" w:cs="Times New Roman"/>
          <w:sz w:val="28"/>
        </w:rPr>
        <w:tab/>
        <w:t>23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3.6 Требования к маркировке и упаковке</w:t>
      </w:r>
      <w:r>
        <w:rPr>
          <w:rFonts w:ascii="Times New Roman" w:hAnsi="Times New Roman" w:eastAsia="Times New Roman" w:cs="Times New Roman"/>
          <w:sz w:val="28"/>
        </w:rPr>
        <w:tab/>
        <w:t>24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3.7 Требования к транспортированию и хранению</w:t>
      </w:r>
      <w:r>
        <w:rPr>
          <w:rFonts w:ascii="Times New Roman" w:hAnsi="Times New Roman" w:eastAsia="Times New Roman" w:cs="Times New Roman"/>
          <w:sz w:val="28"/>
        </w:rPr>
        <w:tab/>
        <w:t>24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3.8 Специальные требования</w:t>
      </w:r>
      <w:r>
        <w:rPr>
          <w:rFonts w:ascii="Times New Roman" w:hAnsi="Times New Roman" w:eastAsia="Times New Roman" w:cs="Times New Roman"/>
          <w:sz w:val="28"/>
        </w:rPr>
        <w:tab/>
        <w:t>24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3.9 Требования к архитектуре</w:t>
      </w:r>
      <w:r>
        <w:rPr>
          <w:rFonts w:ascii="Times New Roman" w:hAnsi="Times New Roman" w:eastAsia="Times New Roman" w:cs="Times New Roman"/>
          <w:sz w:val="28"/>
        </w:rPr>
        <w:tab/>
        <w:t>27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3.10 Порядок изменения требований и проектных решений</w:t>
      </w:r>
      <w:r>
        <w:rPr>
          <w:rFonts w:ascii="Times New Roman" w:hAnsi="Times New Roman" w:eastAsia="Times New Roman" w:cs="Times New Roman"/>
          <w:sz w:val="28"/>
        </w:rPr>
        <w:tab/>
        <w:t>27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4 ТРЕБОВАНИЯ К ПРОГРАММНОЙ ДОКУМЕНТАЦИИ</w:t>
      </w:r>
      <w:r>
        <w:rPr>
          <w:rFonts w:ascii="Times New Roman" w:hAnsi="Times New Roman" w:eastAsia="Times New Roman" w:cs="Times New Roman"/>
          <w:sz w:val="28"/>
        </w:rPr>
        <w:tab/>
        <w:t>28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5 ТЕХНИКО-ЭКОНОМИЧЕСКИЕ ПОКАЗАТЕЛИ</w:t>
      </w:r>
      <w:r>
        <w:rPr>
          <w:rFonts w:ascii="Times New Roman" w:hAnsi="Times New Roman" w:eastAsia="Times New Roman" w:cs="Times New Roman"/>
          <w:sz w:val="28"/>
        </w:rPr>
        <w:tab/>
        <w:t>30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6 СТАДИИ И ЭТАПЫ РАЗРАБОТКИ</w:t>
      </w:r>
      <w:r>
        <w:rPr>
          <w:rFonts w:ascii="Times New Roman" w:hAnsi="Times New Roman" w:eastAsia="Times New Roman" w:cs="Times New Roman"/>
          <w:sz w:val="28"/>
        </w:rPr>
        <w:tab/>
        <w:t>31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6.1 Стадии по ГОСТ 19.102-77</w:t>
      </w:r>
      <w:r>
        <w:rPr>
          <w:rFonts w:ascii="Times New Roman" w:hAnsi="Times New Roman" w:eastAsia="Times New Roman" w:cs="Times New Roman"/>
          <w:sz w:val="28"/>
        </w:rPr>
        <w:tab/>
        <w:t>31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6.2 Этапы рабочего проекта</w:t>
      </w:r>
      <w:r>
        <w:rPr>
          <w:rFonts w:ascii="Times New Roman" w:hAnsi="Times New Roman" w:eastAsia="Times New Roman" w:cs="Times New Roman"/>
          <w:sz w:val="28"/>
        </w:rPr>
        <w:tab/>
        <w:t>31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7 ПОРЯДОК КОНТРОЛЯ И ПРИЁМКИ</w:t>
      </w:r>
      <w:r>
        <w:rPr>
          <w:rFonts w:ascii="Times New Roman" w:hAnsi="Times New Roman" w:eastAsia="Times New Roman" w:cs="Times New Roman"/>
          <w:sz w:val="28"/>
        </w:rPr>
        <w:tab/>
        <w:t>33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7.1 Виды испытаний</w:t>
      </w:r>
      <w:r>
        <w:rPr>
          <w:rFonts w:ascii="Times New Roman" w:hAnsi="Times New Roman" w:eastAsia="Times New Roman" w:cs="Times New Roman"/>
          <w:sz w:val="28"/>
        </w:rPr>
        <w:tab/>
        <w:t>33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7.2 Порядок приёмки</w:t>
      </w:r>
      <w:r>
        <w:rPr>
          <w:rFonts w:ascii="Times New Roman" w:hAnsi="Times New Roman" w:eastAsia="Times New Roman" w:cs="Times New Roman"/>
          <w:sz w:val="28"/>
        </w:rPr>
        <w:tab/>
        <w:t>33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ПРИЛОЖЕНИЕ 1 Матрица трассировки требований</w:t>
      </w:r>
      <w:r>
        <w:rPr>
          <w:rFonts w:ascii="Times New Roman" w:hAnsi="Times New Roman" w:eastAsia="Times New Roman" w:cs="Times New Roman"/>
          <w:sz w:val="28"/>
        </w:rPr>
        <w:tab/>
        <w:t>34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ПРИЛОЖЕНИЕ 2 Перечень диаграмм проекта</w:t>
      </w:r>
      <w:r>
        <w:rPr>
          <w:rFonts w:ascii="Times New Roman" w:hAnsi="Times New Roman" w:eastAsia="Times New Roman" w:cs="Times New Roman"/>
          <w:sz w:val="28"/>
        </w:rPr>
        <w:tab/>
        <w:t>38</w:t>
      </w:r>
      <w:r>
        <w:rPr>
          <w:rFonts w:ascii="Times New Roman" w:hAnsi="Times New Roman" w:eastAsia="Times New Roman" w:cs="Times New Roman"/>
        </w:rPr>
        <w:fldChar w:fldCharType="end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ВВЕДЕНИЕ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Настоящее техническое задание (далее – ТЗ) устанавливает требования к разработке кроссплатформенного мессенджера </w:t>
      </w:r>
      <w:r>
        <w:rPr>
          <w:rFonts w:ascii="Times New Roman" w:hAnsi="Times New Roman" w:eastAsia="Times New Roman" w:cs="Times New Roman"/>
          <w:b/>
        </w:rPr>
        <w:t>NEXO</w:t>
      </w:r>
      <w:r>
        <w:rPr>
          <w:rFonts w:ascii="Times New Roman" w:hAnsi="Times New Roman" w:eastAsia="Times New Roman" w:cs="Times New Roman"/>
        </w:rPr>
        <w:t xml:space="preserve"> (далее – система, программное изделие), предназначенного для обмена сообщениями, файлами и аудио-видеосвязи между пользователями в личных чатах, группах и каналах на устройствах под управлением Windows, macOS, Linux, Android, iOS и в веб-браузере.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Область применения – личное и групповое общение людей, которым важны единая история переписки на всех устройствах, регистрация без привязки к номеру телефона, защита переписки (включая сквозное шифрование в секретных чатах), работа при нестабильной связи, гибкая настройка внешнего вида и поведения приложения.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ТЗ составлено в соответствии с ГОСТ 19.201-78 и оформлено по ГОСТ 19.104-78, ГОСТ 19.105-78 и ГОСТ 19.106-78. Требования ТЗ являются обязательными для всех последующих проектных документов и для реализации; порядок их изменения определён в разделе 3.10.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Формулировки «должна», «должен», «должно» обозначают обязательное требование; «следует» – рекомендуемое; «может» – допустимое. В таблицах требований колонка «Пр.» содержит приоритет (М – обязательное, С – желательное), колонка «Этап» – этап разработки по разделу 6, колонка «Пров.» – метод проверки (И – испытание, А – анализ, Д – демонстрация, О – осмотр).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ОСНОВАНИЯ ДЛЯ РАЗРАБОТКИ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1.1 Документ, на основании которого ведётся разработка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Разработка ведётся по инициативе владельца проекта – Силантьева Никиты (далее – Владелец). Основанием является описание концепции продукта, сформированное Владельцем, включающее десять направлений развития: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единая история переписки на всех устройствах пользователя;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регистрация без номера телефона;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глубокая настройка внешнего вида и поведения;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полное управление с клавиатуры;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</w:rPr>
        <w:t>таймеры автоматического удаления сообщений;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6)</w:t>
        <w:tab/>
      </w:r>
      <w:r>
        <w:rPr>
          <w:rFonts w:ascii="Times New Roman" w:hAnsi="Times New Roman" w:eastAsia="Times New Roman" w:cs="Times New Roman"/>
        </w:rPr>
        <w:t>работа без связи с сервером (offline-first);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7)</w:t>
        <w:tab/>
      </w:r>
      <w:r>
        <w:rPr>
          <w:rFonts w:ascii="Times New Roman" w:hAnsi="Times New Roman" w:eastAsia="Times New Roman" w:cs="Times New Roman"/>
        </w:rPr>
        <w:t>«умные» статусы;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8)</w:t>
        <w:tab/>
      </w:r>
      <w:r>
        <w:rPr>
          <w:rFonts w:ascii="Times New Roman" w:hAnsi="Times New Roman" w:eastAsia="Times New Roman" w:cs="Times New Roman"/>
        </w:rPr>
        <w:t>передача больших файлов;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9)</w:t>
        <w:tab/>
      </w:r>
      <w:r>
        <w:rPr>
          <w:rFonts w:ascii="Times New Roman" w:hAnsi="Times New Roman" w:eastAsia="Times New Roman" w:cs="Times New Roman"/>
        </w:rPr>
        <w:t>папки и теги для организации чатов;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10)</w:t>
        <w:tab/>
      </w:r>
      <w:r>
        <w:rPr>
          <w:rFonts w:ascii="Times New Roman" w:hAnsi="Times New Roman" w:eastAsia="Times New Roman" w:cs="Times New Roman"/>
        </w:rPr>
        <w:t>центр приватности и безопасности.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Концепция дополнена решениями, принятыми Владельцем при согласовании (интервью): разблокировка биометрией на устройствах с соответствующим оборудованием (Face ID, Touch ID, Windows Hello, биометрия Android) и вход по логину и паролю на прочих компьютерах; веб-версия и сайт для загрузки приложений; максимально возможная защита данных; запись видеокружков со звуком; аудио- и видеозвонки, демонстрация экрана; приоритет языка C#.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1.2 Наименование и обозначение разработки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 – Идентификация разработки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505"/>
        <w:gridCol w:w="6133"/>
      </w:tblGrid>
      <w:tr>
        <w:trPr>
          <w:tblHeader w:val="true"/>
        </w:trPr>
        <w:tc>
          <w:tcPr>
            <w:tcW w:type="dxa" w:w="350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Параметр</w:t>
            </w:r>
          </w:p>
        </w:tc>
        <w:tc>
          <w:tcPr>
            <w:tcW w:type="dxa" w:w="613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350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Полное наименование</w:t>
            </w:r>
          </w:p>
        </w:tc>
        <w:tc>
          <w:tcPr>
            <w:tcW w:type="dxa" w:w="61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Кроссплатформенный мессенджер NEXO</w:t>
            </w:r>
          </w:p>
        </w:tc>
      </w:tr>
      <w:tr>
        <w:tc>
          <w:tcPr>
            <w:tcW w:type="dxa" w:w="350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Краткое наименование</w:t>
            </w:r>
          </w:p>
        </w:tc>
        <w:tc>
          <w:tcPr>
            <w:tcW w:type="dxa" w:w="61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NEXO</w:t>
            </w:r>
          </w:p>
        </w:tc>
      </w:tr>
      <w:tr>
        <w:tc>
          <w:tcPr>
            <w:tcW w:type="dxa" w:w="350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Обозначение программного изделия</w:t>
            </w:r>
          </w:p>
        </w:tc>
        <w:tc>
          <w:tcPr>
            <w:tcW w:type="dxa" w:w="61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(код организации-разработчика в реестре не присвоен, указаны нули)</w:t>
            </w:r>
          </w:p>
        </w:tc>
      </w:tr>
      <w:tr>
        <w:tc>
          <w:tcPr>
            <w:tcW w:type="dxa" w:w="350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Вид документа</w:t>
            </w:r>
          </w:p>
        </w:tc>
        <w:tc>
          <w:tcPr>
            <w:tcW w:type="dxa" w:w="61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Техническое задание (ГОСТ 19.201-78)</w:t>
            </w:r>
          </w:p>
        </w:tc>
      </w:tr>
      <w:tr>
        <w:tc>
          <w:tcPr>
            <w:tcW w:type="dxa" w:w="350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Обозначение документа</w:t>
            </w:r>
          </w:p>
        </w:tc>
        <w:tc>
          <w:tcPr>
            <w:tcW w:type="dxa" w:w="61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ТЗ 01</w:t>
            </w:r>
          </w:p>
        </w:tc>
      </w:tr>
      <w:tr>
        <w:tc>
          <w:tcPr>
            <w:tcW w:type="dxa" w:w="350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Версия документа</w:t>
            </w:r>
          </w:p>
        </w:tc>
        <w:tc>
          <w:tcPr>
            <w:tcW w:type="dxa" w:w="613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1.0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Обозначения документов построены по ГОСТ 19.103-77. Код организации-разработчика присваивается регистрирующей организацией; до его получения в обозначении используются нули, после получения обозначение заменяется во всех документах.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1.3 Заказчик и исполнитель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Заказчик и исполнитель – Владелец проекта. Реализация выполняется итерационно с применением ИИ-ассистента (метод «vibe coding»). Для исключения расхождений между этапами разработки комплект документов, перечисленный в разделе 4, является обязательным контекстом каждого этапа реализации, а правила его применения изложены в документе «План разработки и правила ведения разработки» (RU.00000000.00001-01 90 01).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1.4 Нормативные ссылки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В настоящем ТЗ использованы ссылки на следующие документы: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 – Нормативные и справочные документы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65"/>
        <w:gridCol w:w="6673"/>
      </w:tblGrid>
      <w:tr>
        <w:trPr>
          <w:tblHeader w:val="true"/>
        </w:trPr>
        <w:tc>
          <w:tcPr>
            <w:tcW w:type="dxa" w:w="296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Обозначение</w:t>
            </w:r>
          </w:p>
        </w:tc>
        <w:tc>
          <w:tcPr>
            <w:tcW w:type="dxa" w:w="667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Наименование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19.001-77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ЕСПД. Общие положения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19.101-77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ЕСПД. Виды программ и программных документов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19.102-77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ЕСПД. Стадии разработки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19.103-77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ЕСПД. Обозначения программ и программных документов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19.104-78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ЕСПД. Основные надписи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19.105-78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ЕСПД. Общие требования к программным документам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19.106-78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ЕСПД. Требования к программным документам, выполненным печатным способом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19.201-78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ЕСПД. Техническое задание. Требования к содержанию и оформлению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19.301-79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ЕСПД. Программа и методика испытаний. Требования к содержанию и оформлению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19.402-78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ЕСПД. Описание программы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19.404-79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ЕСПД. Пояснительная записка. Требования к содержанию и оформлению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19.604-78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ЕСПД. Правила внесения изменений в программные документы, выполненные печатным способом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19.701-90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ЕСПД. Схемы алгоритмов, программ, данных и систем. Условные обозначения и правила выполнения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34.602-2020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Информационные технологии. Комплекс стандартов на автоматизированные системы. Техническое задание на создание автоматизированной системы (используется как справочный)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ГОСТ Р ИСО/МЭК 25010-2015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Федеральный закон № 152-ФЗ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 персональных данных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Федеральный закон № 149-ФЗ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Об информации, информационных технологиях и о защите информации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RFC 8446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The Transport Layer Security (TLS) Protocol Version 1.3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RFC 9106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Argon2 Memory-Hard Function for Password Hashing and Proof-of-Work Applications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RFC 5869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HMAC-based Extract-and-Expand Key Derivation Function (HKDF)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RFC 8032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Edwards-Curve Digital Signature Algorithm (EdDSA)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RFC 6238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TOTP: Time-Based One-Time Password Algorithm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RFC 7519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JSON Web Token (JWT)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RFC 9562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Universally Unique IDentifiers (UUID), в том числе версия 7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Signal: X3DH, Double Ratchet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Спецификации протоколов согласования ключей и «двойного храповика» (signal.org/docs)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OWASP ASVS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Application Security Verification Standard (версия, принятая в проекте, указана в документе по криптографии)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Protocol Buffers, gRPC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Язык описания интерфейсов proto3 и протокол gRPC (protobuf.dev, grpc.io)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Тексты ГОСТ, на которые нет возможности сослаться по актуальной редакции, при приёмке сверяются с официальными источниками; в документах проекта числовые параметры оформления (поля, кегль), не заданные ГОСТ 19.106-78, приняты по общепринятой практике и перечислены в документе «План разработки и правила ведения разработки» (RU.00000000.00001-01 90 01).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НАЗНАЧЕНИЕ РАЗРАБОТКИ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 Функциональное назначение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Система должна обеспечивать: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создание и защиту учётных записей без номера телефона и электронной почты;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обмен текстовыми сообщениями, файлами, голосовыми сообщениями и видеокружками в личных чатах, группах и каналах;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доставку сообщений в режиме, близком к реальному времени, и единую историю на всех устройствах пользователя;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работу клиента без связи с сервером с последующей синхронизацией;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сквозное шифрование переписки в секретных чатах, привязанных к устройству;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аудио- и видеозвонки и демонстрацию экрана;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организацию чатов в папки, закрепление, архивирование, поиск;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персонализацию интерфейса и управление с клавиатуры;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функции модерации, обработки жалоб и юридически значимых обращений;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администрирование системы.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2.2 Эксплуатационное назначение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Система предназначена для круглосуточной эксплуатации на арендованном виртуальном сервере (VPS) в виде контейнерного комплекса и для установки клиентских приложений на устройства пользователей. Состав ролей и внешних сущностей приведён в таблице 3; общая картина вариантов использования – на рисунках 1–3.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 – Роли пользователей и внешние сущности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65"/>
        <w:gridCol w:w="3442"/>
        <w:gridCol w:w="4131"/>
      </w:tblGrid>
      <w:tr>
        <w:trPr>
          <w:tblHeader w:val="true"/>
        </w:trPr>
        <w:tc>
          <w:tcPr>
            <w:tcW w:type="dxa" w:w="206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Роль</w:t>
            </w:r>
          </w:p>
        </w:tc>
        <w:tc>
          <w:tcPr>
            <w:tcW w:type="dxa" w:w="344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Описание</w:t>
            </w:r>
          </w:p>
        </w:tc>
        <w:tc>
          <w:tcPr>
            <w:tcW w:type="dxa" w:w="413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Основные действия</w:t>
            </w:r>
          </w:p>
        </w:tc>
      </w:tr>
      <w:tr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Пользователь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Физическое лицо, принявшее пользовательское соглашение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Переписка, звонки, файлы, настройка, жалобы</w:t>
            </w:r>
          </w:p>
        </w:tc>
      </w:tr>
      <w:tr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Модератор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Сотрудник, назначенный администратором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Рассмотрение жалоб, применение мер, ведение словаря фильтра</w:t>
            </w:r>
          </w:p>
        </w:tc>
      </w:tr>
      <w:tr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Администратор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Сотрудник с полным доступом к служебным функциям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Управление ролями, обращения органов, аудит, лимиты</w:t>
            </w:r>
          </w:p>
        </w:tc>
      </w:tr>
      <w:tr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Владелец / оператор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Лицо, эксплуатирующее инфраструктуру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Развёртывание, резервное копирование, мониторинг, обновления</w:t>
            </w:r>
          </w:p>
        </w:tc>
      </w:tr>
      <w:tr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Уполномоченный орган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Государственный орган, направивший запрос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Взаимодействие только через администратора по регламенту</w:t>
            </w:r>
          </w:p>
        </w:tc>
      </w:tr>
      <w:tr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Провайдеры push-уведомлений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FCM, RuStore Push, APNs, WebPush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Доставка уведомлений без содержимого сообщений</w:t>
            </w:r>
          </w:p>
        </w:tc>
      </w:tr>
      <w:tr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Медиасервер звонков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SFU и TURN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Маршрутизация аудио- и видеопотоков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030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3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1 – Диаграмма вариантов использования. Учётная запись, безопасность, профиль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142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4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2 – Диаграмма вариантов использования. Общение и контент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9226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22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3 – Диаграмма вариантов использования. Служебные функции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Расчётная нагрузка начального этапа эксплуатации – до 1000 зарегистрированных пользователей и до 200 одновременных подключений на одном сервере; архитектура должна допускать рост не менее чем на два порядка за счёт вертикального и горизонтального масштабирования без изменения клиент-серверного протокола (НФТ-МАС).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2.3 Термины и определения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 – Термины и определения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99"/>
        <w:gridCol w:w="7140"/>
      </w:tblGrid>
      <w:tr>
        <w:trPr>
          <w:tblHeader w:val="true"/>
        </w:trPr>
        <w:tc>
          <w:tcPr>
            <w:tcW w:type="dxa" w:w="24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Термин</w:t>
            </w:r>
          </w:p>
        </w:tc>
        <w:tc>
          <w:tcPr>
            <w:tcW w:type="dxa" w:w="713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Определение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Аккаунт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Учётная запись пользователя, идентифицируемая ником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Устройство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Установленная копия клиента, имеющая собственную пару ключей и сессии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Сессия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Авторизованное соединение устройства с сервером, ограниченное по времени и отзываемое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Обычный чат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Чат, в котором сообщения защищены при передаче и хранении, но доступны серверу в расшифрованном виде для функций синхронизации, поиска на устройствах и модерации по жалобам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Секретный чат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Личный чат, привязанный к паре устройств, со сквозным шифрованием; сервер хранит только шифртекст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Ключ восстановления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Случайное значение 256 бит, выдаваемое при регистрации и позволяющее восстановить доступ без почты и телефона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Номер безопасности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Число, вычисляемое из открытых ключей собеседников, для сверки по независимому каналу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Кружок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Короткое (до 60 с) квадратное видеосообщение с записью звука, снятое камерой устройства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Горячее хранилище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Быстрое объектное хранилище на сервере (MinIO)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Холодное хранилище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Дешёвое внешнее S3-совместимое хранилище для редко используемых файлов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Outbox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Локальная очередь исходящих сообщений клиента, переживающая перезапуск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update_seq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Монотонный номер обновления в журнале пользователя, по которому клиент догоняет состояние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seq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Монотонный номер сообщения внутри чата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Надгробие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Запись об удалённом сообщении без содержимого, сохраняемая для корректной синхронизации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SFU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Selective Forwarding Unit – сервер маршрутизации медиапотоков звонка без их декодирования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PoW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Proof-of-Work – вычислительная задача, решаемая клиентом перед чувствительной операцией</w:t>
            </w:r>
          </w:p>
        </w:tc>
      </w:tr>
      <w:tr>
        <w:tc>
          <w:tcPr>
            <w:tcW w:type="dxa" w:w="24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Моделируемый срок TTL</w:t>
            </w:r>
          </w:p>
        </w:tc>
        <w:tc>
          <w:tcPr>
            <w:tcW w:type="dxa" w:w="713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Время жизни сообщения, отсчитываемое от первого прочтения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2.4 Сокращения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 – Сокращения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24"/>
        <w:gridCol w:w="7414"/>
      </w:tblGrid>
      <w:tr>
        <w:trPr>
          <w:tblHeader w:val="true"/>
        </w:trPr>
        <w:tc>
          <w:tcPr>
            <w:tcW w:type="dxa" w:w="22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Сокращение</w:t>
            </w:r>
          </w:p>
        </w:tc>
        <w:tc>
          <w:tcPr>
            <w:tcW w:type="dxa" w:w="74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Расшифровка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ЕСПД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Единая система программной документации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ПМИ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Программа и методика испытаний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ФТ / НФТ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Функциональные / нефункциональные требования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E2EE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Сквозное шифрование (end-to-end encryption)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KDF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Функция выработки ключа из пароля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TOTP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Одноразовый пароль на основе времени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VPS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Виртуальный выделенный сервер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DFD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Диаграмма потоков данных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ER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Диаграмма «сущность–связь»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TTL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Время жизни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ПД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Персональные данные</w:t>
            </w:r>
          </w:p>
        </w:tc>
      </w:tr>
      <w:tr>
        <w:tc>
          <w:tcPr>
            <w:tcW w:type="dxa" w:w="22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РКН</w:t>
            </w:r>
          </w:p>
        </w:tc>
        <w:tc>
          <w:tcPr>
            <w:tcW w:type="dxa" w:w="74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Роскомнадзор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ТРЕБОВАНИЯ К ПРОГРАММНОМУ ИЗДЕЛИЮ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3.1 Требования к функциональным характеристикам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3.1.1 Состав и границы системы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Границы системы показаны на контекстной диаграмме потоков данных (рисунок 4); детализация процессов приведена в документе «Пояснительная записка (технический проект)» (RU.00000000.00001-01 81 01). Система состоит из следующих частей: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серверная часть (ASP.NET Core, модульный монолит) и рабочий узел фоновых заданий;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хранилища: реляционная база данных PostgreSQL, кэш и шина событий Redis, объектное хранилище S3;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медиасервер звонков (SFU) и сервер ретрансляции TURN;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клиентские приложения на общем коде C# (Avalonia) для Windows, macOS, Linux, браузера (WebAssembly), Android и iOS;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веб-сайт проекта со страницами загрузки и инструкциями по установке;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комплект инфраструктурных конфигураций (Docker Compose, обратный прокси, мониторинг, резервное копирование).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62126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1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Рисунок 4 – Контекстная диаграмма потоков данных (уровень 0, нотация Гейна–Сарсона)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3.1.2 Функциональные требования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Функциональные требования сгруппированы по подсистемам и приведены в таблицах 6–19. Каждое требование имеет уникальный код, который используется в проектных документах, программе испытаний и матрице трассировки (приложение 1).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 – Учётные записи и аутентификация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ФТ-АУТ-01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обеспечивать регистрацию без номера телефона и адреса электронной почты: по нику (3–32 символа a–z, 0–9, _), отображаемому имени и паролю.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ФТ-АУТ-02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Пароль не должен передаваться на сервер: клиент выводит MasterKey = Argon2id(пароль, соль) и AuthKey = HKDF(MasterKey), на сервере хранится Argon2id(AuthKey).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А,И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ФТ-АУТ-03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При регистрации, входе и восстановлении система должна требовать решения вычислительной задачи (proof-of-work) для защиты от массового создания записей и перебора.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ФТ-АУТ-04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При регистрации система должна выдать ключ восстановления (256 бит) и потребовать подтверждения его сохранения; сервер хранит только проверочное значение.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И,Д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ФТ-АУТ-05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позволять восстановить доступ по ключу восстановления с установкой нового пароля; все прочие сессии при этом завершаются.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ФТ-АУТ-06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выдавать короткоживущий токен доступа (10 минут) и одноразовый токен обновления с ротацией, семействами и обнаружением повторного использования.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ФТ-АУТ-07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двухфакторную аутентификацию TOTP (RFC 6238) и резервные коды.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ФТ-АУТ-08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Для неизвестного ника система должна возвращать правдоподобные поддельные параметры KDF, не позволяя перечислять существующие ники.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А,И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ФТ-АУТ-09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временно блокировать попытки входа по ограничению частоты (по нику, IP и устройству) с растущей задержкой.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ФТ-АУТ-10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позволять сменить пароль при известном текущем пароле.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ФТ-АУТ-11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позволять удалить учётную запись с подтверждением и каскадным удалением персональных данных в сроки политики хранения.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 – Устройства и сессии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ФТ-УСТ-01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Каждое устройство должно иметь собственную пару ключей Ed25519; операции обновления токена должны подписываться ключом устройства.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А,И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ФТ-УСТ-02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Вход с нового устройства должен подтверждаться с уже авторизованного устройства подписанным запросом либо ключом восстановления.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ФТ-УСТ-03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Пользователь должен видеть список своих устройств и сессий и завершать любую из них.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ФТ-УСТ-04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уведомлять пользователя о входе с нового устройства.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ФТ-УСТ-05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автоматическое завершение неактивных сессий через настраиваемый срок.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 – Чаты, группы, каналы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ФТ-ЧАТ-01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личные чаты между двумя пользователями.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ФТ-ЧАТ-02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группы до 1000 участников с ролями (владелец, администратор, участник) и правами.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ФТ-ЧАТ-03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каналы (рассылка) с неограниченным числом подписчиков и публикацией только администраторами.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ФТ-ЧАТ-04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позволять приглашать по ссылке с ограничением срока и числа использований.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ФТ-ЧАТ-05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позволять закреплять чаты, отключать уведомления и архивировать чаты.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ФТ-ЧАТ-06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позволять искать пользователей по нику и имени (если пользователь не скрыл себя из поиска); группы и каналы доступны по пригласительной ссылке. Публичный каталог каналов в состав первой версии не входит.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ФТ-ЧАТ-07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профиль пользователя (отображаемое имя, о себе, аватар) и список контактов с запросами на добавление.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 – Сообщения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ФТ-СООБ-01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передавать текстовые сообщения до 4096 символов с форматированием (жирный, курсив, код, ссылка).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ФТ-СООБ-02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Отправка должна быть идемпотентной по client_msg_id: повторная отправка не создаёт дубль.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ФТ-СООБ-03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ответы, пересылку, редактирование (48 ч) и удаление у себя и у всех.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ФТ-СООБ-04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реакции и отметки о прочтении (настраиваемо).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ФТ-СООБ-05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черновики, синхронизируемые между устройствами.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ФТ-СООБ-06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таймер удаления сообщений в чате; отсчёт начинается с момента первого прочтения; непрочитанные сообщения удаляются через 30 суток.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ФТ-СООБ-07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 истечении таймера сообщение и связанные файлы должны удаляться на сервере и на устройствах.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ФТ-СООБ-08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обеспечивать полнотекстовый поиск по сообщениям: в локальной базе клиента (FTS5, в том числе для секретных чатов) и на сервере для обычных чатов.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ФТ-СООБ-09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Сообщения должны упорядочиваться внутри чата монотонным номером seq, назначаемым сервером.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А,И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ФТ-СООБ-10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позволять закреплять сообщения в чате и загружать историю страницами относительно выбранного сообщения.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 – Файлы и медиа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ФТ-МЕД-01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принимать файлы размером до 500 МБ (настраиваемо до 2 ГБ) через многочастевую загрузку с докачкой.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ФТ-МЕД-02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Загрузка и скачивание должны выполняться напрямую в объектное хранилище по временным адресам.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А,И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ФТ-МЕД-03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пережимать изображения и видео (WebP/AVIF, H.264) при отправке не как файл и применять zstd при выигрыше.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ФТ-МЕД-04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дедуплицировать содержимое на уровне хранилища без раскрытия факта совпадения пользователям.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ФТ-МЕД-05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переносить файлы без обращений 30 суток в холодное хранилище; запрос такого файла должен показывать ожидание и сообщать о готовности.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ФТ-МЕД-06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квоту хранилища на пользователя (по умолчанию 5 ГБ) и показывать использование.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ФТ-МЕД-07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видеокружки до 60 секунд со звуком, записываемые камерой устройства.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ФТ-МЕД-08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голосовые сообщения.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ФТ-МЕД-09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показывать «Всё, что загружал» — список файлов пользователя во всех чатах.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 – Секретные чаты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ФТ-СЕК-01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секретные чаты, привязанные к устройству, со сквозным шифрованием X3DH + Double Ratchet.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А,И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ФТ-СЕК-02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Сервер не должен иметь возможности прочитать содержимое секретных чатов, включая файлы.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ФТ-СЕК-03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позволять сверять ключи собеседников по номеру безопасности и QR-коду.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ФТ-СЕК-04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предупреждать при смене ключей собеседника.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ФТ-СЕК-05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 возможности применять постквантовое расширение (ML-KEM-768) при установлении ключей.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 – Звонки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ФТ-ЗВ-01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аудиозвонки и видеозвонки 1:1.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ФТ-ЗВ-02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демонстрацию экрана на десктопе и в web.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ФТ-ЗВ-03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использовать SFU и TURN, обеспечивая соединение через NAT.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ФТ-ЗВ-04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документировать, что звонки через SFU не имеют сквозного шифрования.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ФТ-ЗВ-05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групповые звонки до 8 участников приглашением в идущий звонок.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ФТ-ЗВ-06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хранить и показывать историю звонков чата.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 – Синхронизация и офлайн-режим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ФТ-СИН-01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Клиент должен работать офлайн: читать историю, писать сообщения в очередь исходящих и отправлять при появлении связи.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ФТ-СИН-02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Клиент должен получать обновления потоком Subscribe с продолжением с последнего update_seq.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ФТ-СИН-03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При пропуске журнала сервер должен потребовать полную пересинхронизацию (ResyncRequired).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ФТ-СИН-04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Журнал обновлений должен храниться не менее 30 суток.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ФТ-СИН-05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Единая история должна быть доступна на всех устройствах пользователя (кроме секретных чатов).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 – Статусы и присутствие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ФТ-СТА-01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статусы: в сети, работаю или учусь, отошёл, не беспокоить, свой текст до 70 символов с авто-сбросом.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ФТ-СТА-02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отклонять собственный текст статуса, содержащий нецензурную лексику или экстремистские высказывания, по словарю с нормализацией обходов, не называя слово.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ФТ-СТА-03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Фильтр не должен применяться к содержимому сообщений в чатах.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ФТ-СТА-04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скрывать время последнего посещения по настройке приватности.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 – Персонализация и удобство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ФТ-ПЕР-01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темы оформления и импорт/экспорт тем-файлов.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ФТ-ПЕР-02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полное управление с клавиатуры и настраиваемые горячие клавиши.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ФТ-ПЕР-03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папки чатов (с автоматическими фильтрами) и теги чатов. Теги – метки чата, хранимые как синхронизируемые настройки с ключом chat.tags.&lt;идентификатор чата&gt;.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ФТ-ПЕР-04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синхронизировать настройки между устройствами.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 – Приватность и безопасность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ФТ-ПРИ-01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Клиент должен хранить локальную базу в SQLCipher; ключ базы защищается системным хранилищем (Keychain, Keystore, DPAPI/Windows Hello, Secret Service).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А,И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ФТ-ПРИ-02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Клиент должен поддерживать разблокировку биометрией (Face ID, Touch ID, Windows Hello, BiometricPrompt) и PIN-кодом; на прочих ПК — логин и пароль.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ФТ-ПРИ-03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Клиент должен поддерживать код-блокировку с автоблокировкой по времени.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ФТ-ПРИ-04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список заблокированных пользователей и настройку, кто может писать и звонить.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ФТ-ПРИ-05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Центр приватности должен показывать устройства, сессии, права и журнал событий безопасности.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 – Модерация, жалобы, обращения органов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ФТ-МОД-01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Пользователь должен иметь возможность пожаловаться на сообщение, пользователя или чат.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ФТ-МОД-02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Модератор должен рассматривать жалобы и применять меры: предупреждение, ограничение, блокировка.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ФТ-МОД-03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процедуру уведомления и удаления незаконного контента с журналом действий.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ФТ-МОД-04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поддерживать регистрацию и ответ на обращения уполномоченных органов с аудитом.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 – Правовые документы и согласия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ФТ-ПРА-01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При регистрации система должна показывать Пользовательское соглашение, Политику конфиденциальности и Согласие на обработку ПД и требовать явного принятия.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ФТ-ПРА-02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фиксировать факт принятия: версию документа, время, IP, устройство.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ФТ-ПРА-03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При выходе новой версии документа система должна запрашивать повторное принятие.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 – Администрирование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ФТ-АДМ-01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иметь роли пользователь, модератор, администратор, владелец.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ФТ-АДМ-02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вести неизменяемый журнал аудита действий персонала.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А,И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ФТ-АДМ-03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Администратор должен управлять словарём фильтра статусов и лимитами.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Ограничение функции звонков: в связи с использованием SFU аудио- и видеозвонки не имеют сквозного шифрования; защита обеспечивается шифрованием транспорта (DTLS-SRTP) между клиентом и SFU. Это ограничение обязательно указывается в пользовательской документации и в Пользовательском соглашении.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3.1.3 Требования к организации входных и выходных данных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Обмен между клиентом и сервером выполняется по протоколу gRPC поверх HTTP/2 (gRPC-Web для браузера). Состав сервисов, сообщений, кодов ошибок и последовательностей вызовов определён в документе «Описание протокола информационного взаимодействия» (RU.00000000.00001-01 13 01) и в файлах </w:t>
      </w:r>
      <w:r>
        <w:rPr>
          <w:rFonts w:ascii="Courier New" w:hAnsi="Courier New" w:eastAsia="Courier New" w:cs="Courier New"/>
          <w:sz w:val="24"/>
        </w:rPr>
        <w:t>.proto</w:t>
      </w:r>
      <w:r>
        <w:rPr>
          <w:rFonts w:ascii="Times New Roman" w:hAnsi="Times New Roman" w:eastAsia="Times New Roman" w:cs="Times New Roman"/>
        </w:rPr>
        <w:t>, являющихся единственным источником истины. Общие правила данных: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 xml:space="preserve">идентификаторы сущностей – UUID версии 7 (RFC 9562), для сообщений в чате – дополнительно монотонный </w:t>
      </w:r>
      <w:r>
        <w:rPr>
          <w:rFonts w:ascii="Courier New" w:hAnsi="Courier New" w:eastAsia="Courier New" w:cs="Courier New"/>
          <w:sz w:val="24"/>
        </w:rPr>
        <w:t>seq</w:t>
      </w:r>
      <w:r>
        <w:rPr>
          <w:rFonts w:ascii="Times New Roman" w:hAnsi="Times New Roman" w:eastAsia="Times New Roman" w:cs="Times New Roman"/>
        </w:rPr>
        <w:t>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время – UTC, формат Timestamp протокола Protocol Buffers; отображение в часовом поясе устройства;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текст – UTF-8, нормализация NFC, запрет управляющих символов, кроме перевода строки и табуляции;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все мутирующие операции идемпотентны по клиентскому идентификатору запроса;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 xml:space="preserve">ошибки возвращаются кодом gRPC и структурой </w:t>
      </w:r>
      <w:r>
        <w:rPr>
          <w:rFonts w:ascii="Courier New" w:hAnsi="Courier New" w:eastAsia="Courier New" w:cs="Courier New"/>
          <w:sz w:val="24"/>
        </w:rPr>
        <w:t>ErrorDetail</w:t>
      </w:r>
      <w:r>
        <w:rPr>
          <w:rFonts w:ascii="Times New Roman" w:hAnsi="Times New Roman" w:eastAsia="Times New Roman" w:cs="Times New Roman"/>
        </w:rPr>
        <w:t xml:space="preserve"> с машинным кодом причины;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изменение протокола допускается только с сохранением обратной совместимости в пределах мажорной версии.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 – Предельные значения параметров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131"/>
        <w:gridCol w:w="3442"/>
        <w:gridCol w:w="2065"/>
      </w:tblGrid>
      <w:tr>
        <w:trPr>
          <w:tblHeader w:val="true"/>
        </w:trPr>
        <w:tc>
          <w:tcPr>
            <w:tcW w:type="dxa" w:w="413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Параметр</w:t>
            </w:r>
          </w:p>
        </w:tc>
        <w:tc>
          <w:tcPr>
            <w:tcW w:type="dxa" w:w="344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Значение</w:t>
            </w:r>
          </w:p>
        </w:tc>
        <w:tc>
          <w:tcPr>
            <w:tcW w:type="dxa" w:w="206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Настройка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Длина ника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3–32 символа: a–z, 0–9, _; первый символ – буква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нет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Длина текста сообщения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4096 символов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администратором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Длина текста статуса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70 символов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нет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Размер файла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500 МБ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до 2 ГБ администратором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Квота хранилища пользователя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5 ГБ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администратором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Длительность кружка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60 секунд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нет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Число участников группы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1000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администратором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Окно редактирования сообщения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48 часов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администратором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Срок хранения журнала обновлений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30 суток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администратором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Срок хранения непрочитанных сообщений с таймером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30 суток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администратором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Срок жизни токена доступа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10 минут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нет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Срок жизни токена обновления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30 суток без использования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администратором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Срок перевода файла в холодное хранилище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30 суток без обращений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администратором</w:t>
            </w:r>
          </w:p>
        </w:tc>
      </w:tr>
      <w:tr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Размер страницы истории</w:t>
            </w:r>
          </w:p>
        </w:tc>
        <w:tc>
          <w:tcPr>
            <w:tcW w:type="dxa" w:w="344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1–100 сообщений (по умолчанию 50)</w:t>
            </w:r>
          </w:p>
        </w:tc>
        <w:tc>
          <w:tcPr>
            <w:tcW w:type="dxa" w:w="20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3.1.4 Требования к данным и срокам хранения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 – Сроки хранения данных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988"/>
        <w:gridCol w:w="3323"/>
        <w:gridCol w:w="2326"/>
      </w:tblGrid>
      <w:tr>
        <w:trPr>
          <w:tblHeader w:val="true"/>
        </w:trPr>
        <w:tc>
          <w:tcPr>
            <w:tcW w:type="dxa" w:w="398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Категория данных</w:t>
            </w:r>
          </w:p>
        </w:tc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Срок хранения</w:t>
            </w:r>
          </w:p>
        </w:tc>
        <w:tc>
          <w:tcPr>
            <w:tcW w:type="dxa" w:w="23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Основание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Сообщения и вложения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до удаления пользователем или по таймеру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функция сервиса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Сообщения с таймером, не прочитанные получателем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30 суток с момента отправки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ФТ-СООБ-06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Журнал обновлений пользователя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30 суток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ФТ-СИН-04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События безопасности учётной записи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12 месяцев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расследование инцидентов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Журнал действий персонала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 года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подотчётность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Записи о принятии документов (согласий)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весь срок учётной записи и 3 года после удаления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подтверждение согласия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Данные удалённой учётной записи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удаляются в течение 30 суток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152-ФЗ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Резервные копии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30 суток (ротация)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восстановление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Технические журналы приложения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30 суток, без содержимого сообщений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эксплуатация</w:t>
            </w:r>
          </w:p>
        </w:tc>
      </w:tr>
      <w:tr>
        <w:tc>
          <w:tcPr>
            <w:tcW w:type="dxa" w:w="398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Обращения уполномоченных органов и ответы</w:t>
            </w:r>
          </w:p>
        </w:tc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 года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подотчётность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Подробные правила хранения и удаления приведены в документе «Политика хранения и удаления данных» (RU.00000000.00001-01 95 01). Значения сроков должны быть приведены в соответствие с результатами юридической проверки перед публичным запуском (см. «Правовой анализ и реестр правовых рисков» (RU.00000000.00001-01 90 03)).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3.1.5 Требования к временным характеристикам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 – Производительность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НФТ-ПРО-01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Доставка текстового сообщения онлайн получателю — не более 300 мс (медиана) при RTT до сервера ≤ 50 мс.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НФТ-ПРО-02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Холодный запуск клиента до отображения списка чатов из локальной базы — не более 2 с на целевой конфигурации.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НФТ-ПРО-03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Сервер должен обслуживать не менее 5000 одновременных подписок на одном узле минимальной конфигурации (4 vCPU, 8 ГБ).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3.2 Требования к надёжности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23 – Надёжность и восстановление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НФТ-НАД-01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Доступность сервиса — не менее 99,5 % в месяц.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НФТ-НАД-02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Потеря данных при сбое сервера — не более 5 минут (RPO), восстановление — не более 4 часов (RTO).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НФТ-НАД-03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Клиент не должен терять неотправленные сообщения при закрытии приложения.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Система должна сохранять целостность данных при аварийном завершении любого процесса: все изменения в базе данных выполняются транзакциями; отправка сообщения подтверждается только после фиксации транзакции; повторная доставка не приводит к дублированию благодаря идемпотентности. Восстановление после отказа выполняется перезапуском контейнеров и, при утрате данных, восстановлением из резервной копии по процедуре, описанной в «Пояснительная записка (технический проект)» (RU.00000000.00001-01 81 01).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3.3 Условия эксплуатации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Серверная часть эксплуатируется на арендованном VPS в дата-центре на территории Российской Федерации под управлением Ubuntu Server LTS. Обслуживание выполняется одним оператором, владеющим навыками администрирования Linux и Docker. Клиентские приложения эксплуатируются конечными пользователями без специальной подготовки; для администраторов и модераторов требуется ознакомление с регламентами.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3.4 Требования к составу и параметрам технических средств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24 – Минимальные параметры сервера (начальный этап)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65"/>
        <w:gridCol w:w="6673"/>
      </w:tblGrid>
      <w:tr>
        <w:trPr>
          <w:tblHeader w:val="true"/>
        </w:trPr>
        <w:tc>
          <w:tcPr>
            <w:tcW w:type="dxa" w:w="296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Параметр</w:t>
            </w:r>
          </w:p>
        </w:tc>
        <w:tc>
          <w:tcPr>
            <w:tcW w:type="dxa" w:w="667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Процессор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 виртуальных ядра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Оперативная память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8 ГБ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Диск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160 ГБ SSD/NVMe (горячее хранилище, база данных)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Сеть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белый IPv4, канал не менее 100 Мбит/с, открытые порты 443/tcp, 443/udp и диапазон UDP для звонков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ОС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Ubuntu Server LTS с Docker и Docker Compose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Внешнее хранилище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S3-совместимое хранилище для холодного уровня и резервных копий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25 – Минимальные параметры клиентских устройств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85"/>
        <w:gridCol w:w="2856"/>
        <w:gridCol w:w="4998"/>
      </w:tblGrid>
      <w:tr>
        <w:trPr>
          <w:tblHeader w:val="true"/>
        </w:trPr>
        <w:tc>
          <w:tcPr>
            <w:tcW w:type="dxa" w:w="178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Платформа</w:t>
            </w:r>
          </w:p>
        </w:tc>
        <w:tc>
          <w:tcPr>
            <w:tcW w:type="dxa" w:w="28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Минимальная версия</w:t>
            </w:r>
          </w:p>
        </w:tc>
        <w:tc>
          <w:tcPr>
            <w:tcW w:type="dxa" w:w="499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Примечание</w:t>
            </w:r>
          </w:p>
        </w:tc>
      </w:tr>
      <w:tr>
        <w:tc>
          <w:tcPr>
            <w:tcW w:type="dxa" w:w="17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Windows</w:t>
            </w:r>
          </w:p>
        </w:tc>
        <w:tc>
          <w:tcPr>
            <w:tcW w:type="dxa" w:w="28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10 (x64)</w:t>
            </w:r>
          </w:p>
        </w:tc>
        <w:tc>
          <w:tcPr>
            <w:tcW w:type="dxa" w:w="4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Windows Hello для биометрии</w:t>
            </w:r>
          </w:p>
        </w:tc>
      </w:tr>
      <w:tr>
        <w:tc>
          <w:tcPr>
            <w:tcW w:type="dxa" w:w="17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macOS</w:t>
            </w:r>
          </w:p>
        </w:tc>
        <w:tc>
          <w:tcPr>
            <w:tcW w:type="dxa" w:w="28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12</w:t>
            </w:r>
          </w:p>
        </w:tc>
        <w:tc>
          <w:tcPr>
            <w:tcW w:type="dxa" w:w="4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Touch ID на поддерживаемых моделях; сборка выполняется на компьютере Mac</w:t>
            </w:r>
          </w:p>
        </w:tc>
      </w:tr>
      <w:tr>
        <w:tc>
          <w:tcPr>
            <w:tcW w:type="dxa" w:w="17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Linux</w:t>
            </w:r>
          </w:p>
        </w:tc>
        <w:tc>
          <w:tcPr>
            <w:tcW w:type="dxa" w:w="28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x64, glibc 2.31+</w:t>
            </w:r>
          </w:p>
        </w:tc>
        <w:tc>
          <w:tcPr>
            <w:tcW w:type="dxa" w:w="4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X11 или Wayland; хранение ключей – Secret Service</w:t>
            </w:r>
          </w:p>
        </w:tc>
      </w:tr>
      <w:tr>
        <w:tc>
          <w:tcPr>
            <w:tcW w:type="dxa" w:w="17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Браузер</w:t>
            </w:r>
          </w:p>
        </w:tc>
        <w:tc>
          <w:tcPr>
            <w:tcW w:type="dxa" w:w="28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актуальные Chrome, Firefox, Safari, Edge</w:t>
            </w:r>
          </w:p>
        </w:tc>
        <w:tc>
          <w:tcPr>
            <w:tcW w:type="dxa" w:w="4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WebAssembly, WebCrypto; секретные чаты недоступны</w:t>
            </w:r>
          </w:p>
        </w:tc>
      </w:tr>
      <w:tr>
        <w:tc>
          <w:tcPr>
            <w:tcW w:type="dxa" w:w="17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Android</w:t>
            </w:r>
          </w:p>
        </w:tc>
        <w:tc>
          <w:tcPr>
            <w:tcW w:type="dxa" w:w="28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8.0 (API 26)</w:t>
            </w:r>
          </w:p>
        </w:tc>
        <w:tc>
          <w:tcPr>
            <w:tcW w:type="dxa" w:w="4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BiometricPrompt; Android Keystore</w:t>
            </w:r>
          </w:p>
        </w:tc>
      </w:tr>
      <w:tr>
        <w:tc>
          <w:tcPr>
            <w:tcW w:type="dxa" w:w="178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iOS</w:t>
            </w:r>
          </w:p>
        </w:tc>
        <w:tc>
          <w:tcPr>
            <w:tcW w:type="dxa" w:w="28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16</w:t>
            </w:r>
          </w:p>
        </w:tc>
        <w:tc>
          <w:tcPr>
            <w:tcW w:type="dxa" w:w="4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Face ID, Touch ID; Keychain; сборка на Mac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3.5 Требования к информационной и программной совместимости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26 – Совместимость и платформы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НФТ-СОВ-01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Клиенты: Windows 10+, macOS 12+, Linux (x64, glibc 2.31+, X11/Wayland), современные браузеры, Android 8+, iOS 16+.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Э1–Э6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НФТ-СОВ-02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Основной язык разработки — C# (.NET 10 LTS либо актуальная LTS на момент разработки).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НФТ-СОВ-03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Сервер должен разворачиваться командой Docker Compose на одном VPS.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27 – Интерфейсы и протоколы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ИНТ-01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Протокол клиент–сервер — gRPC (HTTP/2) и gRPC-Web, определён файлами .proto.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ИНТ-02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Ошибки должны передаваться кодом gRPC и структурой ErrorDetail в grpc-status-details-bin.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ИНТ-03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Хранилище файлов — S3-совместимое (MinIO для горячего, внешний S3 для холодного уровня).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ИНТ-04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Медиасервер звонков — LiveKit (SFU) и TURN; клиентская библиотека уточняется на Э3.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ИНТ-05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Push-уведомления: FCM, RuStore Push, APNs, WebPush.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Э5–Э6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Принятые технологические решения (стек) фиксируются в таблице 28. Замена элементов стека допускается только через изменение настоящего ТЗ и документа «Пояснительная записка (технический проект)» (RU.00000000.00001-01 81 01).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28 – Технологический стек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965"/>
        <w:gridCol w:w="6673"/>
      </w:tblGrid>
      <w:tr>
        <w:trPr>
          <w:tblHeader w:val="true"/>
        </w:trPr>
        <w:tc>
          <w:tcPr>
            <w:tcW w:type="dxa" w:w="2965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Область</w:t>
            </w:r>
          </w:p>
        </w:tc>
        <w:tc>
          <w:tcPr>
            <w:tcW w:type="dxa" w:w="667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Решение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Клиенты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C#, .NET, Avalonia UI, ReactiveUI; WebAssembly для веб-версии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Сервер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C#, ASP.NET Core, модульный монолит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Протокол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gRPC (HTTP/2), gRPC-Web, Protocol Buffers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База данных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PostgreSQL 16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Кэш и шина событий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Redis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Локальная БД клиента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SQLite с шифрованием SQLCipher, полнотекстовый поиск FTS5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Объектное хранилище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MinIO (горячее), внешнее S3-совместимое (холодное)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Звонки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LiveKit (SFU) и TURN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Криптография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libsodium (XChaCha20-Poly1305, Ed25519, X25519), Argon2id, HKDF; по возможности ML-KEM-768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Развёртывание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Docker Compose, обратный прокси Caddy</w:t>
            </w:r>
          </w:p>
        </w:tc>
      </w:tr>
      <w:tr>
        <w:tc>
          <w:tcPr>
            <w:tcW w:type="dxa" w:w="296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Наблюдаемость</w:t>
            </w:r>
          </w:p>
        </w:tc>
        <w:tc>
          <w:tcPr>
            <w:tcW w:type="dxa" w:w="667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OpenTelemetry, Prometheus, Grafana, Loki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3.6 Требования к маркировке и упаковке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Программное изделие поставляется в виде дистрибутивов и не имеет физической упаковки. Каждый дистрибутив должен содержать наименование, номер версии в формате МАЖОР.МИНОР.ПАТЧ, контрольную сумму SHA-256 и, где платформа допускает, цифровую подпись издателя. Сведения о версии должны отображаться в разделе «О программе».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3.7 Требования к транспортированию и хранению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Распространение выполняется через собственный сайт (Windows, macOS, Linux, веб-версия), RuStore и Google Play (Android). Публикация для iOS выполняется на заключительном этапе. Хранение дистрибутивов и подписывающих ключей – на защищённом носителе владельца; подписывающие ключи не размещаются в репозитории.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3.8 Специальные требования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3.8.1 Безопасность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29 – Требования к безопасности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НФТ-БЕЗ-01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Весь трафик должен защищаться TLS 1.3; клиент должен проверять сертификат сервера.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НФТ-БЕЗ-02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Серверные секреты и TOTP-секреты должны храниться зашифрованными (AES-256-GCM) с ключом вне базы.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НФТ-БЕЗ-03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Система должна соответствовать контрольным требованиям OWASP ASVS уровня 2 в части применимых разделов.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Э3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НФТ-БЕЗ-04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Резервные копии должны храниться в зашифрованном виде вне основного сервера.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НФТ-БЕЗ-05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Журналы не должны содержать содержимого сообщений, паролей, ключей и токенов.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Модель угроз, перечень применяемых криптографических примитивов, процедуры генерации и ротации ключей, а также границы гарантий (что система защищает и чего не защищает) приведены в документе «Описание криптографической подсистемы и модель угроз» (RU.00000000.00001-01 81 02).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3.8.2 Персональные данные и правовые требования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Система должна проектироваться и эксплуатироваться с учётом законодательства Российской Федерации о персональных данных и об информации. В систему закладываются: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минимизация собираемых данных: не запрашиваются номер телефона, электронная почта, реальное имя;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явное согласие на обработку персональных данных и принятие Пользовательского соглашения при регистрации с фиксацией версии, времени, IP-адреса и устройства;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возможность удаления учётной записи и сроки удаления данных по политике хранения;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процедуры реагирования на обращения субъектов, жалобы и запросы уполномоченных органов;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размещение баз данных, содержащих персональные данные граждан Российской Федерации, на территории Российской Федерации.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Некоторые требования законодательства к организаторам распространения информации и мессенджерам (в частности, идентификация пользователей по абонентскому номеру) противоречат принципу регистрации без номера телефона. Анализ и решения владельца по этим вопросам приведены в документе «Правовой анализ и реестр правовых рисков» (RU.00000000.00001-01 90 03). Разработчик не является юристом; перед публичным запуском необходима консультация профильного специалиста.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3.8.3 Модерация и фильтрация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Содержимое чатов не просматривается персоналом системы. Доступ персонала к содержимому сообщений возможен только в объёме, необходимом для рассмотрения жалобы на конкретное сообщение, и только при наличии такой технической возможности (обычный чат); для секретных чатов такая возможность отсутствует. Фильтр запрещённой лексики применяется только к собственному тексту статуса пользователя (ФТ-СТА-02, ФТ-СТА-03); сообщения в чатах фильтрации не подвергаются.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3.8.4 Эргономика и локализация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30 – Эргономика и локализация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НФТ-ЭРГ-01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Интерфейс — на русском языке; архитектура должна допускать добавление локалей.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НФТ-ЭРГ-02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Основные сценарии (отправка сообщения, переключение чата, поиск) должны выполняться без мыши.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НФТ-ЭРГ-03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Интерфейс должен соответствовать контрасту WCAG 2.1 AA в стандартных темах.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3.8.5 Сопровождаемость и масштабируемость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31 – Сопровождаемость и наблюдаемость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НФТ-СОП-01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Сервер должен экспортировать метрики Prometheus, трассировку OpenTelemetry и структурные журналы.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НФТ-СОП-02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Миграции БД должны быть версионированными и воспроизводимыми.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Э1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НФТ-СОП-03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Протокол должен проходить проверку обратной совместимости (buf breaking) в процессе сборки.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32 – Масштабируемость и ёмкость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626"/>
        <w:gridCol w:w="5421"/>
        <w:gridCol w:w="602"/>
        <w:gridCol w:w="963"/>
        <w:gridCol w:w="1024"/>
      </w:tblGrid>
      <w:tr>
        <w:trPr>
          <w:tblHeader w:val="true"/>
        </w:trPr>
        <w:tc>
          <w:tcPr>
            <w:tcW w:type="dxa" w:w="16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542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6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Пр.</w:t>
            </w:r>
          </w:p>
        </w:tc>
        <w:tc>
          <w:tcPr>
            <w:tcW w:type="dxa" w:w="96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10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НФТ-МАС-01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Архитектура должна допускать вынос модулей в отдельные сервисы без изменения протокола.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</w:t>
            </w:r>
          </w:p>
        </w:tc>
      </w:tr>
      <w:tr>
        <w:tc>
          <w:tcPr>
            <w:tcW w:type="dxa" w:w="16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НФТ-МАС-02</w:t>
            </w:r>
          </w:p>
        </w:tc>
        <w:tc>
          <w:tcPr>
            <w:tcW w:type="dxa" w:w="542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Схема БД должна допускать секционирование таблицы сообщений и журнала обновлений.</w:t>
            </w:r>
          </w:p>
        </w:tc>
        <w:tc>
          <w:tcPr>
            <w:tcW w:type="dxa" w:w="6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</w:t>
            </w:r>
          </w:p>
        </w:tc>
        <w:tc>
          <w:tcPr>
            <w:tcW w:type="dxa" w:w="96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Э2</w:t>
            </w:r>
          </w:p>
        </w:tc>
        <w:tc>
          <w:tcPr>
            <w:tcW w:type="dxa" w:w="10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3.9 Требования к архитектуре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Архитектура должна соответствовать документу «Пояснительная записка (технический проект)» (RU.00000000.00001-01 81 01). Обязательные принципы: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  <w:b/>
        </w:rPr>
        <w:t>Сервер – источник порядка.</w:t>
      </w:r>
      <w:r>
        <w:rPr>
          <w:rFonts w:ascii="Times New Roman" w:hAnsi="Times New Roman" w:eastAsia="Times New Roman" w:cs="Times New Roman"/>
        </w:rPr>
        <w:t xml:space="preserve"> Порядок сообщений в чате и обновлений пользователя определяют серверные номера </w:t>
      </w:r>
      <w:r>
        <w:rPr>
          <w:rFonts w:ascii="Courier New" w:hAnsi="Courier New" w:eastAsia="Courier New" w:cs="Courier New"/>
          <w:sz w:val="24"/>
        </w:rPr>
        <w:t>seq</w:t>
      </w:r>
      <w:r>
        <w:rPr>
          <w:rFonts w:ascii="Times New Roman" w:hAnsi="Times New Roman" w:eastAsia="Times New Roman" w:cs="Times New Roman"/>
        </w:rPr>
        <w:t xml:space="preserve"> и </w:t>
      </w:r>
      <w:r>
        <w:rPr>
          <w:rFonts w:ascii="Courier New" w:hAnsi="Courier New" w:eastAsia="Courier New" w:cs="Courier New"/>
          <w:sz w:val="24"/>
        </w:rPr>
        <w:t>update_seq</w:t>
      </w:r>
      <w:r>
        <w:rPr>
          <w:rFonts w:ascii="Times New Roman" w:hAnsi="Times New Roman" w:eastAsia="Times New Roman" w:cs="Times New Roman"/>
        </w:rPr>
        <w:t>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  <w:b/>
        </w:rPr>
        <w:t>Клиент – offline-first.</w:t>
      </w:r>
      <w:r>
        <w:rPr>
          <w:rFonts w:ascii="Times New Roman" w:hAnsi="Times New Roman" w:eastAsia="Times New Roman" w:cs="Times New Roman"/>
        </w:rPr>
        <w:t xml:space="preserve"> Любое действие пользователя сначала фиксируется локально, затем доставляется; отсутствие связи не блокирует интерфейс;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  <w:b/>
        </w:rPr>
        <w:t>Идемпотентность.</w:t>
      </w:r>
      <w:r>
        <w:rPr>
          <w:rFonts w:ascii="Times New Roman" w:hAnsi="Times New Roman" w:eastAsia="Times New Roman" w:cs="Times New Roman"/>
        </w:rPr>
        <w:t xml:space="preserve"> Повтор любого запроса безопасен;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  <w:b/>
        </w:rPr>
        <w:t>Минимум доверия к серверу для секретных данных.</w:t>
      </w:r>
      <w:r>
        <w:rPr>
          <w:rFonts w:ascii="Times New Roman" w:hAnsi="Times New Roman" w:eastAsia="Times New Roman" w:cs="Times New Roman"/>
        </w:rPr>
        <w:t xml:space="preserve"> Секретные чаты и локальные ключи недоступны серверу;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  <w:b/>
        </w:rPr>
        <w:t>Модульность.</w:t>
      </w:r>
      <w:r>
        <w:rPr>
          <w:rFonts w:ascii="Times New Roman" w:hAnsi="Times New Roman" w:eastAsia="Times New Roman" w:cs="Times New Roman"/>
        </w:rPr>
        <w:t xml:space="preserve"> Модули сервера взаимодействуют через явные интерфейсы и могут быть вынесены в отдельные сервисы;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6)</w:t>
        <w:tab/>
      </w:r>
      <w:r>
        <w:rPr>
          <w:rFonts w:ascii="Times New Roman" w:hAnsi="Times New Roman" w:eastAsia="Times New Roman" w:cs="Times New Roman"/>
          <w:b/>
        </w:rPr>
        <w:t>Единый источник истины.</w:t>
      </w:r>
      <w:r>
        <w:rPr>
          <w:rFonts w:ascii="Times New Roman" w:hAnsi="Times New Roman" w:eastAsia="Times New Roman" w:cs="Times New Roman"/>
        </w:rPr>
        <w:t xml:space="preserve"> Протокол задаётся </w:t>
      </w:r>
      <w:r>
        <w:rPr>
          <w:rFonts w:ascii="Courier New" w:hAnsi="Courier New" w:eastAsia="Courier New" w:cs="Courier New"/>
          <w:sz w:val="24"/>
        </w:rPr>
        <w:t>.proto</w:t>
      </w:r>
      <w:r>
        <w:rPr>
          <w:rFonts w:ascii="Times New Roman" w:hAnsi="Times New Roman" w:eastAsia="Times New Roman" w:cs="Times New Roman"/>
        </w:rPr>
        <w:t xml:space="preserve">, структура БД – схемой </w:t>
      </w:r>
      <w:r>
        <w:rPr>
          <w:rFonts w:ascii="Courier New" w:hAnsi="Courier New" w:eastAsia="Courier New" w:cs="Courier New"/>
          <w:sz w:val="24"/>
        </w:rPr>
        <w:t>schema.sql</w:t>
      </w:r>
      <w:r>
        <w:rPr>
          <w:rFonts w:ascii="Times New Roman" w:hAnsi="Times New Roman" w:eastAsia="Times New Roman" w:cs="Times New Roman"/>
        </w:rPr>
        <w:t>, поведение – диаграммами и ТЗ;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7)</w:t>
        <w:tab/>
      </w:r>
      <w:r>
        <w:rPr>
          <w:rFonts w:ascii="Times New Roman" w:hAnsi="Times New Roman" w:eastAsia="Times New Roman" w:cs="Times New Roman"/>
          <w:b/>
        </w:rPr>
        <w:t>Наблюдаемость.</w:t>
      </w:r>
      <w:r>
        <w:rPr>
          <w:rFonts w:ascii="Times New Roman" w:hAnsi="Times New Roman" w:eastAsia="Times New Roman" w:cs="Times New Roman"/>
        </w:rPr>
        <w:t xml:space="preserve"> Каждый запрос трассируется; журналы не содержат содержимого сообщений и секретов.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3.10 Порядок изменения требований и проектных решений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Изменение требований, протокола, модели данных и диаграмм выполняется только в следующем порядке: (1) оформляется изменение в соответствующем документе с повышением версии и записью в лист регистрации изменений по ГОСТ 19.604-78; (2) обновляются связанные документы и диаграммы, проверяется согласованность (контрольные проверки перечислены в «План разработки и правила ведения разработки» (RU.00000000.00001-01 90 01)); (3) только после этого изменяется код. Реализация, расходящаяся с документами, считается дефектом.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ТРЕБОВАНИЯ К ПРОГРАММНОЙ ДОКУМЕНТАЦИИ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Состав программной документации определён в соответствии с ГОСТ 19.101-77 и приведён в таблице 33. Документы, обозначенные «рабочий проект», разрабатываются на соответствующей стадии по мере реализации и поддерживаются в актуальном состоянии.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33 – Состав документации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13"/>
        <w:gridCol w:w="4217"/>
        <w:gridCol w:w="2108"/>
      </w:tblGrid>
      <w:tr>
        <w:trPr>
          <w:tblHeader w:val="true"/>
        </w:trPr>
        <w:tc>
          <w:tcPr>
            <w:tcW w:type="dxa" w:w="3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Обозначение</w:t>
            </w:r>
          </w:p>
        </w:tc>
        <w:tc>
          <w:tcPr>
            <w:tcW w:type="dxa" w:w="421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Наименование</w:t>
            </w:r>
          </w:p>
        </w:tc>
        <w:tc>
          <w:tcPr>
            <w:tcW w:type="dxa" w:w="210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Стадия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ТЗ 01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Техническое задание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ТЗ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81 01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Пояснительная записка (технический проект)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81 02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Описание криптографической подсистемы и модель угроз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13 01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Описание протокола информационного взаимодействия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13 02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Описание модели данных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51 01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Программа и методика испытаний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90 01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План разработки и правила ведения разработки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90 02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Ведомость документации проекта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90 03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Правовой анализ и реестр правовых рисков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91 01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Пользовательское соглашение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 (юридические документы)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92 01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Политика конфиденциальности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 (юридические документы)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93 01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Правила сообщества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 (юридические документы)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94 01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Согласие на обработку персональных данных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 (юридические документы)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95 01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Политика хранения и удаления данных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 (юридические документы)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RU.00000000.00001-01 96 01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Регламент рассмотрения запросов уполномоченных органов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 (юридические документы)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Описание применения (ГОСТ 19.502-78)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рабочий проект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Руководство системного программиста / оператора (развёртывание и эксплуатация)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рабочий проект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Руководство пользователя (в справке приложения и на сайте)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рабочий проект</w:t>
            </w:r>
          </w:p>
        </w:tc>
      </w:tr>
      <w:tr>
        <w:tc>
          <w:tcPr>
            <w:tcW w:type="dxa" w:w="3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—</w:t>
            </w:r>
          </w:p>
        </w:tc>
        <w:tc>
          <w:tcPr>
            <w:tcW w:type="dxa" w:w="42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Ведомость эксплуатационных документов (код 20)</w:t>
            </w:r>
          </w:p>
        </w:tc>
        <w:tc>
          <w:tcPr>
            <w:tcW w:type="dxa" w:w="210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рабочий проект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Документы оформляются по ГОСТ 19.105-78 и ГОСТ 19.106-78; диаграммы – в нотациях Гейна–Сарсона (потоки данных), «воронья лапка» (ER), UML и схем алгоритмов по ГОСТ 19.701-90 в части условных обозначений. Исходные файлы диаграмм поставляются вместе с документами.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 ТЕХНИКО-ЭКОНОМИЧЕСКИЕ ПОКАЗАТЕЛИ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Проект является некоммерческой инициативой Владельца на начальном этапе; монетизация не предусмотрена. Эксплуатационные расходы определяются арендой VPS, внешнего S3-хранилища, доменного имени и сертификатов, комиссиями магазинов приложений. Для снижения расходов на хранение предусмотрены: пережатие медиа, дедупликация содержимого, перенос редко используемых файлов в холодное хранилище, квоты пользователей.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34 – Целевые показатели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508"/>
        <w:gridCol w:w="4131"/>
      </w:tblGrid>
      <w:tr>
        <w:trPr>
          <w:tblHeader w:val="true"/>
        </w:trPr>
        <w:tc>
          <w:tcPr>
            <w:tcW w:type="dxa" w:w="550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Показатель</w:t>
            </w:r>
          </w:p>
        </w:tc>
        <w:tc>
          <w:tcPr>
            <w:tcW w:type="dxa" w:w="413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Целевое значение</w:t>
            </w:r>
          </w:p>
        </w:tc>
      </w:tr>
      <w:tr>
        <w:tc>
          <w:tcPr>
            <w:tcW w:type="dxa" w:w="55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Задержка доставки сообщения (медиана, онлайн)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 более 300 мс</w:t>
            </w:r>
          </w:p>
        </w:tc>
      </w:tr>
      <w:tr>
        <w:tc>
          <w:tcPr>
            <w:tcW w:type="dxa" w:w="55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Холодный запуск клиента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 более 2 с</w:t>
            </w:r>
          </w:p>
        </w:tc>
      </w:tr>
      <w:tr>
        <w:tc>
          <w:tcPr>
            <w:tcW w:type="dxa" w:w="55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Доступность сервиса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 менее 99,5 % в месяц</w:t>
            </w:r>
          </w:p>
        </w:tc>
      </w:tr>
      <w:tr>
        <w:tc>
          <w:tcPr>
            <w:tcW w:type="dxa" w:w="55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RPO / RTO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5 минут / 4 часа</w:t>
            </w:r>
          </w:p>
        </w:tc>
      </w:tr>
      <w:tr>
        <w:tc>
          <w:tcPr>
            <w:tcW w:type="dxa" w:w="55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Одновременные подписки на одном минимальном сервере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 менее 5000 (целевое), 200 (расчётное начальное)</w:t>
            </w:r>
          </w:p>
        </w:tc>
      </w:tr>
      <w:tr>
        <w:tc>
          <w:tcPr>
            <w:tcW w:type="dxa" w:w="550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Средний объём хранения на пользователя после оптимизации</w:t>
            </w:r>
          </w:p>
        </w:tc>
        <w:tc>
          <w:tcPr>
            <w:tcW w:type="dxa" w:w="413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не более 1 ГБ (контролируется квотой 5 ГБ)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Фактическая экономическая эффективность и точная стоимость эксплуатации определяются после выбора провайдера и не фиксируются настоящим ТЗ.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6 СТАДИИ И ЭТАПЫ РАЗРАБОТКИ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6.1 Стадии по ГОСТ 19.102-77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35 – Стадии разработки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94"/>
        <w:gridCol w:w="4653"/>
        <w:gridCol w:w="2991"/>
      </w:tblGrid>
      <w:tr>
        <w:trPr>
          <w:tblHeader w:val="true"/>
        </w:trPr>
        <w:tc>
          <w:tcPr>
            <w:tcW w:type="dxa" w:w="199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Стадия</w:t>
            </w:r>
          </w:p>
        </w:tc>
        <w:tc>
          <w:tcPr>
            <w:tcW w:type="dxa" w:w="465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Содержание работ</w:t>
            </w:r>
          </w:p>
        </w:tc>
        <w:tc>
          <w:tcPr>
            <w:tcW w:type="dxa" w:w="299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Техническое задание</w:t>
            </w:r>
          </w:p>
        </w:tc>
        <w:tc>
          <w:tcPr>
            <w:tcW w:type="dxa" w:w="46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Обоснование необходимости, определение требований, концепция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Настоящее ТЗ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Эскизный проект</w:t>
            </w:r>
          </w:p>
        </w:tc>
        <w:tc>
          <w:tcPr>
            <w:tcW w:type="dxa" w:w="46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Предварительная проработка решений (совмещена с техническим проектом)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Разделы пояснительной записки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Технический проект</w:t>
            </w:r>
          </w:p>
        </w:tc>
        <w:tc>
          <w:tcPr>
            <w:tcW w:type="dxa" w:w="46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Архитектура, протокол, модель данных, диаграммы, криптография, ПМИ, юридические документы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Комплект документов по таблице 33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Рабочий проект</w:t>
            </w:r>
          </w:p>
        </w:tc>
        <w:tc>
          <w:tcPr>
            <w:tcW w:type="dxa" w:w="46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Реализация, отладка, эксплуатационные документы, испытания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Программы, исходные тексты, эксплуатационная документация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Внедрение</w:t>
            </w:r>
          </w:p>
        </w:tc>
        <w:tc>
          <w:tcPr>
            <w:tcW w:type="dxa" w:w="465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Развёртывание, публикация дистрибутивов, сопровождение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Работающая система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6.2 Этапы рабочего проекта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Работы рабочего проекта выполняются этапами; мобильные платформы реализуются в последнюю очередь. Каждый этап завершается испытаниями по «Программа и методика испытаний» (RU.00000000.00001-01 51 01) в объёме требований этапа.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36 – Этапы реализации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876"/>
        <w:gridCol w:w="4381"/>
        <w:gridCol w:w="4381"/>
      </w:tblGrid>
      <w:tr>
        <w:trPr>
          <w:tblHeader w:val="true"/>
        </w:trPr>
        <w:tc>
          <w:tcPr>
            <w:tcW w:type="dxa" w:w="87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Этап</w:t>
            </w:r>
          </w:p>
        </w:tc>
        <w:tc>
          <w:tcPr>
            <w:tcW w:type="dxa" w:w="438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Содержание</w:t>
            </w:r>
          </w:p>
        </w:tc>
        <w:tc>
          <w:tcPr>
            <w:tcW w:type="dxa" w:w="438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Критерий завершения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Э1</w:t>
            </w:r>
          </w:p>
        </w:tc>
        <w:tc>
          <w:tcPr>
            <w:tcW w:type="dxa" w:w="43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Ядро: сервер, учётные записи, личные чаты, десктоп-клиенты (Windows, macOS, Linux)</w:t>
            </w:r>
          </w:p>
        </w:tc>
        <w:tc>
          <w:tcPr>
            <w:tcW w:type="dxa" w:w="43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Требования с отметкой Э1 выполнены; испытания пройдены на трёх ОС; развёртывание в локальной сети Wi-Fi проверено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Э2</w:t>
            </w:r>
          </w:p>
        </w:tc>
        <w:tc>
          <w:tcPr>
            <w:tcW w:type="dxa" w:w="43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Группы, каналы, файлы, кружки, папки, статусы, таймеры удаления, офлайн-режим</w:t>
            </w:r>
          </w:p>
        </w:tc>
        <w:tc>
          <w:tcPr>
            <w:tcW w:type="dxa" w:w="43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Требования с отметкой Э2 выполнены; нагрузочные и отказные испытания пройдены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Э3</w:t>
            </w:r>
          </w:p>
        </w:tc>
        <w:tc>
          <w:tcPr>
            <w:tcW w:type="dxa" w:w="43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Секретные чаты (E2EE), аудио- и видеозвонки, демонстрация экрана</w:t>
            </w:r>
          </w:p>
        </w:tc>
        <w:tc>
          <w:tcPr>
            <w:tcW w:type="dxa" w:w="43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Криптографическая подсистема принята по проверочным векторам; звонки пройдены через NAT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Э4</w:t>
            </w:r>
          </w:p>
        </w:tc>
        <w:tc>
          <w:tcPr>
            <w:tcW w:type="dxa" w:w="43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Web-клиент (WASM) и сайт-установщик</w:t>
            </w:r>
          </w:p>
        </w:tc>
        <w:tc>
          <w:tcPr>
            <w:tcW w:type="dxa" w:w="43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Веб-версия функциональна в объёме Э1–Э2; сайт опубликован с инструкциями установки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Э5</w:t>
            </w:r>
          </w:p>
        </w:tc>
        <w:tc>
          <w:tcPr>
            <w:tcW w:type="dxa" w:w="43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Android</w:t>
            </w:r>
          </w:p>
        </w:tc>
        <w:tc>
          <w:tcPr>
            <w:tcW w:type="dxa" w:w="43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Приложение опубликовано в RuStore; по возможности – в Google Play</w:t>
            </w:r>
          </w:p>
        </w:tc>
      </w:tr>
      <w:tr>
        <w:tc>
          <w:tcPr>
            <w:tcW w:type="dxa" w:w="87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Э6</w:t>
            </w:r>
          </w:p>
        </w:tc>
        <w:tc>
          <w:tcPr>
            <w:tcW w:type="dxa" w:w="43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iOS</w:t>
            </w:r>
          </w:p>
        </w:tc>
        <w:tc>
          <w:tcPr>
            <w:tcW w:type="dxa" w:w="43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Сборка выполнена на Mac; приложение прошло проверки магазина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Первичная проверка работоспособности выполняется в домашней локальной сети (несколько устройств по Wi-Fi), затем система разворачивается на арендованном VPS контейнерами Docker.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Сроки этапов устанавливаются Владельцем при планировании и фиксируются в документе «План разработки и правила ведения разработки» (RU.00000000.00001-01 90 01); настоящим ТЗ фиксируется последовательность и критерии завершения.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7 ПОРЯДОК КОНТРОЛЯ И ПРИЁМКИ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7.1 Виды испытаний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модульные и интеграционные испытания</w:t>
      </w:r>
      <w:r>
        <w:rPr>
          <w:rFonts w:ascii="Times New Roman" w:hAnsi="Times New Roman" w:eastAsia="Times New Roman" w:cs="Times New Roman"/>
        </w:rPr>
        <w:t xml:space="preserve"> – автоматические, выполняются при каждой сборке;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приёмочные испытания этапа</w:t>
      </w:r>
      <w:r>
        <w:rPr>
          <w:rFonts w:ascii="Times New Roman" w:hAnsi="Times New Roman" w:eastAsia="Times New Roman" w:cs="Times New Roman"/>
        </w:rPr>
        <w:t xml:space="preserve"> – по методике «Программа и методика испытаний» (RU.00000000.00001-01 51 01);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испытания безопасности</w:t>
      </w:r>
      <w:r>
        <w:rPr>
          <w:rFonts w:ascii="Times New Roman" w:hAnsi="Times New Roman" w:eastAsia="Times New Roman" w:cs="Times New Roman"/>
        </w:rPr>
        <w:t xml:space="preserve"> – проверка по перечню угроз и проверочным векторам криптографии;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нагрузочные и отказные испытания</w:t>
      </w:r>
      <w:r>
        <w:rPr>
          <w:rFonts w:ascii="Times New Roman" w:hAnsi="Times New Roman" w:eastAsia="Times New Roman" w:cs="Times New Roman"/>
        </w:rPr>
        <w:t xml:space="preserve"> – на тестовом стенде, близком к рабочему;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анализ согласованности документов</w:t>
      </w:r>
      <w:r>
        <w:rPr>
          <w:rFonts w:ascii="Times New Roman" w:hAnsi="Times New Roman" w:eastAsia="Times New Roman" w:cs="Times New Roman"/>
        </w:rPr>
        <w:t xml:space="preserve"> – автоматические проверки, перечисленные в «План разработки и правила ведения разработки» (RU.00000000.00001-01 90 01).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7.2 Порядок приёмки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Этап считается принятым, если выполнены все требования с приоритетом «М», отнесённые к этапу, и нет открытых дефектов критического и высокого уровня;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Требования с приоритетом «С» могут быть перенесены на следующий этап с записью в журнале решений;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Результаты фиксируются в протоколе испытаний, подписываемом Владельцем;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Публичный запуск разрешается после выполнения требований безопасности и получения юридической консультации по рискам, перечисленным в «Правовой анализ и реестр правовых рисков» (RU.00000000.00001-01 90 03).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ПРИЛОЖЕНИЕ 1</w:t>
        <w:br/>
      </w:r>
      <w:r>
        <w:rPr>
          <w:rFonts w:ascii="Times New Roman" w:hAnsi="Times New Roman" w:eastAsia="Times New Roman" w:cs="Times New Roman"/>
          <w:b w:val="0"/>
        </w:rPr>
        <w:t>(справочное)</w:t>
        <w:br/>
      </w:r>
      <w:r>
        <w:rPr>
          <w:rFonts w:ascii="Times New Roman" w:hAnsi="Times New Roman" w:eastAsia="Times New Roman" w:cs="Times New Roman"/>
          <w:b/>
        </w:rPr>
        <w:t>Матрица трассировки требований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Матрица связывает требования с этапом, методом проверки и элементами проектных решений (методами протокола, компонентами). Идентификатор испытания образуется добавлением префикса «ИС-» к коду требования; содержание испытаний приведено в «Программа и методика испытаний» (RU.00000000.00001-01 51 01).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37 – Матрица трассировки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302"/>
        <w:gridCol w:w="781"/>
        <w:gridCol w:w="716"/>
        <w:gridCol w:w="4884"/>
        <w:gridCol w:w="1953"/>
      </w:tblGrid>
      <w:tr>
        <w:trPr>
          <w:tblHeader w:val="true"/>
        </w:trPr>
        <w:tc>
          <w:tcPr>
            <w:tcW w:type="dxa" w:w="130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Требование</w:t>
            </w:r>
          </w:p>
        </w:tc>
        <w:tc>
          <w:tcPr>
            <w:tcW w:type="dxa" w:w="78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Этап</w:t>
            </w:r>
          </w:p>
        </w:tc>
        <w:tc>
          <w:tcPr>
            <w:tcW w:type="dxa" w:w="71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488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Реализующие элементы</w:t>
            </w:r>
          </w:p>
        </w:tc>
        <w:tc>
          <w:tcPr>
            <w:tcW w:type="dxa" w:w="19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Испытание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AuthService.Register; AuthService.CheckUsername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А,И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AuthService.Register, Login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AuthService.GetPowChallenge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И,Д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AuthService.Register, RecoverAccount; AuthService.RegenerateRecoveryKey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ФТ-АУТ-05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AuthService.RecoverAccount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ИС-ФТ-АУТ-05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ФТ-АУТ-06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AuthService.RefreshToken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ИС-ФТ-АУТ-06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ФТ-АУТ-07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AuthService.BeginTotpSetup, ConfirmTotpSetup; AuthService.DisableTotp; AuthService.CompleteSecondFactor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ИС-ФТ-АУТ-07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ФТ-АУТ-08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А,И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AuthService.GetKdfParams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ИС-ФТ-АУТ-08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ФТ-АУТ-09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AuthService.Login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ИС-ФТ-АУТ-09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ФТ-АУТ-10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AuthService.ChangePassword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ИС-ФТ-АУТ-10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ФТ-АУТ-11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UserService.DeleteAccount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ИС-ФТ-АУТ-11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ФТ-УСТ-01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А,И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AuthService.Register, Login (регистрация устройства)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ИС-ФТ-УСТ-01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ФТ-УСТ-02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AuthService.Login; DeviceService.ListLoginApprovals, ResolveLoginApproval; AuthService.WatchLoginApproval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ИС-ФТ-УСТ-02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ФТ-УСТ-03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DeviceService.ListDevices, RevokeDevice; DeviceService.RenameDevice; AuthService.Logout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ИС-ФТ-УСТ-03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ФТ-УСТ-04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DeviceService; DeviceService.ListAuthEvents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ИС-ФТ-УСТ-04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ФТ-УСТ-05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SettingsService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ИС-ФТ-УСТ-05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ChatService.GetOrCreateDirectChat; ChatService.ListChats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ChatService.CreateGroup; ChatService.GetChat, UpdateChat, ListMembers, AddMembers, RemoveMember, LeaveChat, SetMemberRole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ChatService.CreateChannel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ChatService.CreateInviteLink; ChatService.RevokeInviteLink, ResolveInvite, JoinByInvite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ФТ-ЧАТ-05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ChatService.PinChat, MuteChat, ArchiveChat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ИС-ФТ-ЧАТ-05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ФТ-ЧАТ-06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UserService.SearchUsers; ChatService.ResolveInvite, JoinByInvite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ИС-ФТ-ЧАТ-06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ФТ-ЧАТ-07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UserService.GetMe, UpdateProfile, SetAvatar, GetUser, SendContactRequest, RespondContactRequest, RemoveContact, ListContacts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ИС-ФТ-ЧАТ-07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MessageService.SendMessage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MessageService.SendMessage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MessageService; MessageService.EditMessage, DeleteMessages, ForwardMessages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MessageService.SetReaction, MarkRead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ФТ-СООБ-05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ChatService.SaveDraft, ListDrafts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ИС-ФТ-СООБ-05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ФТ-СООБ-06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ChatService.SetChatTtl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ИС-ФТ-СООБ-06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ФТ-СООБ-07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worker: purge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ИС-ФТ-СООБ-07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ФТ-СООБ-08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клиент: FTS5; MessageService.SearchMessages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ИС-ФТ-СООБ-08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ФТ-СООБ-09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А,И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MessageService.SendMessage, GetHistory, GetMessages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ИС-ФТ-СООБ-09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ФТ-СООБ-10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MessageService.PinMessage, GetHistory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ИС-ФТ-СООБ-10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MediaService.InitUpload; MediaService.GetUploadPartUrls, CompleteUpload, GetUploadStatus, AbortUpload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А,И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MediaService; MediaService.GetDownloadUrl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worker: media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media_blobs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ФТ-МЕД-05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MediaService.RequestRestore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ИС-ФТ-МЕД-05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ФТ-МЕД-06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MediaService.GetQuota; MediaService.DeleteFile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ИС-ФТ-МЕД-06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ФТ-МЕД-07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MessageService.SendMessage (вложение MEDIA_KIND_VIDEO_NOTE)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ИС-ФТ-МЕД-07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ФТ-МЕД-08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MessageService.SendMessage (вложение MEDIA_KIND_VOICE)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ИС-ФТ-МЕД-08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ФТ-МЕД-09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клиент: локальный список; MediaService.GetFile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ИС-ФТ-МЕД-09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ФТ-СЕК-01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А,И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KeyService, MessageService; KeyService.CreateSecretChat, AcceptSecretChat, CloseSecretChat, RefillPrekeys, GetPrekeyCount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ИС-ФТ-СЕК-01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ФТ-СЕК-02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ИС-ФТ-СЕК-02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ФТ-СЕК-03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KeyService.ListUserDeviceKeys (номер безопасности вычисляется на клиенте)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ИС-ФТ-СЕК-03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ФТ-СЕК-04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KeyService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ИС-ФТ-СЕК-04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ФТ-СЕК-05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KeyService.UploadKeyBundle, GetPrekeyBundle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ИС-ФТ-СЕК-05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ФТ-ЗВ-01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CallService.StartCall; CallService.DeclineCall, LeaveCall, EndCall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ИС-ФТ-ЗВ-01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ФТ-ЗВ-02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CallService; CallService.UpdateParticipantState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ИС-ФТ-ЗВ-02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ФТ-ЗВ-03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CallService.JoinCall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ИС-ФТ-ЗВ-03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ФТ-ЗВ-04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ИС-ФТ-ЗВ-04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ФТ-ЗВ-05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CallService.InviteToCall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ИС-ФТ-ЗВ-05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ФТ-ЗВ-06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CallService.GetCall, ListCalls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ИС-ФТ-ЗВ-06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ФТ-СИН-01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клиент: outbox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ИС-ФТ-СИН-01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ФТ-СИН-02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SyncService.Subscribe; SyncService.AckUpdates, GetState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ИС-ФТ-СИН-02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ФТ-СИН-03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SyncService.GetDifference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ИС-ФТ-СИН-03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ФТ-СИН-04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user_updates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ИС-ФТ-СИН-04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ФТ-СИН-05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SyncService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ИС-ФТ-СИН-05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ФТ-СТА-01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PresenceService.SetStatus; PresenceService.GetStatuses, Heartbeat; MessageService.SetTyping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ИС-ФТ-СТА-01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ФТ-СТА-02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PresenceService.SetStatus (STATUS_TEXT_REJECTED)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ИС-ФТ-СТА-02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ФТ-СТА-03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ИС-ФТ-СТА-03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ФТ-СТА-04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SettingsService; UserService.GetPrivacy, UpdatePrivacy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ИС-ФТ-СТА-04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ФТ-ПЕР-01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SettingsService.PutSettings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ИС-ФТ-ПЕР-01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ФТ-ПЕР-02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клиент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ИС-ФТ-ПЕР-02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ФТ-ПЕР-03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ChatService.ListFolders, UpsertFolder, DeleteFolder, ReorderFolders; SettingsService.PutSettings (теги)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ИС-ФТ-ПЕР-03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ФТ-ПЕР-04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SettingsService; SettingsService.GetSettings, PutSettings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ИС-ФТ-ПЕР-04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ФТ-ПРИ-01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А,И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клиент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ИС-ФТ-ПРИ-01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ФТ-ПРИ-02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клиент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ИС-ФТ-ПРИ-02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ФТ-ПРИ-03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клиент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ИС-ФТ-ПРИ-03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ФТ-ПРИ-04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UserService.BlockUser; UserService.BlockUser, UnblockUser, ListBlockedUsers, GetPrivacy, UpdatePrivacy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ИС-ФТ-ПРИ-04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ФТ-ПРИ-05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DeviceService, SettingsService; DeviceService.ListAuthEvents, ListDevices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ИС-ФТ-ПРИ-05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ФТ-МОД-01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ModerationService.CreateReport; ModerationService.ListMyReports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ИС-ФТ-МОД-01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ФТ-МОД-02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ModerationService; AdminService.ListReports, ResolveReport, ApplySanction, RevokeSanction, GetUserOverview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ИС-ФТ-МОД-02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ФТ-МОД-03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ModerationService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ИС-ФТ-МОД-03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ФТ-МОД-04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AdminService; AdminService.ListLegalRequests, CreateLegalRequest, UpdateLegalRequest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ИС-ФТ-МОД-04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ФТ-ПРА-01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LegalService.GetLegalDocuments, AcceptDocuments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ИС-ФТ-ПРА-01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ФТ-ПРА-02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LegalService.AcceptDocuments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ИС-ФТ-ПРА-02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ФТ-ПРА-03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LegalService; LegalService.GetConsentStatus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ИС-ФТ-ПРА-03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ФТ-АДМ-01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AdminService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ИС-ФТ-АДМ-01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ФТ-АДМ-02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А,И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audit_log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ИС-ФТ-АДМ-02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ФТ-АДМ-03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AdminService; AdminService.ListTerms, UpsertTerm, DeleteTerm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ИС-ФТ-АДМ-03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НФТ-БЕЗ-01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ИС-НФТ-БЕЗ-01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НФТ-БЕЗ-02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ИС-НФТ-БЕЗ-02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НФТ-БЕЗ-03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ИС-НФТ-БЕЗ-03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НФТ-БЕЗ-04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ИС-НФТ-БЕЗ-04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НФТ-БЕЗ-05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ИС-НФТ-БЕЗ-05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НФТ-ПРО-01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ИС-НФТ-ПРО-01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НФТ-ПРО-02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ИС-НФТ-ПРО-02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НФТ-ПРО-03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ИС-НФТ-ПРО-03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НФТ-НАД-01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ИС-НФТ-НАД-01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НФТ-НАД-02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ИС-НФТ-НАД-02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НФТ-НАД-03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клиент: outbox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ИС-НФТ-НАД-03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НФТ-МАС-01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ИС-НФТ-МАС-01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НФТ-МАС-02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schema.sql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ИС-НФТ-МАС-02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НФТ-СОВ-01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Э1–Э6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ИС-НФТ-СОВ-01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НФТ-СОВ-02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ИС-НФТ-СОВ-02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НФТ-СОВ-03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ИС-НФТ-СОВ-03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НФТ-ЭРГ-01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ИС-НФТ-ЭРГ-01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НФТ-ЭРГ-02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ИС-НФТ-ЭРГ-02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НФТ-ЭРГ-03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ИС-НФТ-ЭРГ-03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НФТ-СОП-01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ИС-НФТ-СОП-01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НФТ-СОП-02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schema.sql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ИС-НФТ-СОП-02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НФТ-СОП-03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proto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ИС-НФТ-СОП-03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ИНТ-01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proto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ИС-ИНТ-01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ИНТ-02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common.proto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ИС-ИНТ-02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ИНТ-03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—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ИС-ИНТ-03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ИНТ-04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CallService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ИС-ИНТ-04</w:t>
            </w:r>
          </w:p>
        </w:tc>
      </w:tr>
      <w:tr>
        <w:tc>
          <w:tcPr>
            <w:tcW w:type="dxa" w:w="130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ИНТ-05</w:t>
            </w:r>
          </w:p>
        </w:tc>
        <w:tc>
          <w:tcPr>
            <w:tcW w:type="dxa" w:w="78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Э5–Э6</w:t>
            </w:r>
          </w:p>
        </w:tc>
        <w:tc>
          <w:tcPr>
            <w:tcW w:type="dxa" w:w="71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</w:t>
            </w:r>
          </w:p>
        </w:tc>
        <w:tc>
          <w:tcPr>
            <w:tcW w:type="dxa" w:w="48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DeviceService.RegisterPushToken</w:t>
            </w:r>
          </w:p>
        </w:tc>
        <w:tc>
          <w:tcPr>
            <w:tcW w:type="dxa" w:w="19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ИС-ИНТ-05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ПРИЛОЖЕНИЕ 2</w:t>
        <w:br/>
      </w:r>
      <w:r>
        <w:rPr>
          <w:rFonts w:ascii="Times New Roman" w:hAnsi="Times New Roman" w:eastAsia="Times New Roman" w:cs="Times New Roman"/>
          <w:b w:val="0"/>
        </w:rPr>
        <w:t>(справочное)</w:t>
        <w:br/>
      </w:r>
      <w:r>
        <w:rPr>
          <w:rFonts w:ascii="Times New Roman" w:hAnsi="Times New Roman" w:eastAsia="Times New Roman" w:cs="Times New Roman"/>
          <w:b/>
        </w:rPr>
        <w:t>Перечень диаграмм проекта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Перечень содержит все диаграммы комплекта; исходные файлы расположены в папке «Диаграммы».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38 – Диаграммы проекта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554"/>
        <w:gridCol w:w="5596"/>
        <w:gridCol w:w="2487"/>
      </w:tblGrid>
      <w:tr>
        <w:trPr>
          <w:tblHeader w:val="true"/>
        </w:trPr>
        <w:tc>
          <w:tcPr>
            <w:tcW w:type="dxa" w:w="15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Ключ</w:t>
            </w:r>
          </w:p>
        </w:tc>
        <w:tc>
          <w:tcPr>
            <w:tcW w:type="dxa" w:w="559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</w:t>
            </w:r>
          </w:p>
        </w:tc>
        <w:tc>
          <w:tcPr>
            <w:tcW w:type="dxa" w:w="248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Файл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usecase_a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вариантов использования. Учётная запись, безопасность, профиль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usecase_a.png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usecase_b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вариантов использования. Общение и контент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usecase_b.png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usecase_c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вариантов использования. Служебные функции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usecase_c.png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concept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Концептуальная модель данных (ER, нотация «воронья лапка»)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concept.png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dfd0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Контекстная диаграмма потоков данных (уровень 0, нотация Гейна–Сарсона)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dfd0.png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dfd1a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потоков данных уровня 1. Процессы, внешние сущности и связи между процессами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dfd1a.png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dfd1b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потоков данных уровня 1. Процессы и хранилища данных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dfd1b.png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dfd2_P1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потоков данных уровня 2. Процесс P1 «Управление учётными записями и устройствами»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dfd2_P1.png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dfd2_P3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потоков данных уровня 2. Процесс P3 «Обмен сообщениями»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dfd2_P3.png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dfd2_P4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потоков данных уровня 2. Процесс P4 «Синхронизация, доставка и присутствие»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dfd2_P4.png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dfd2_P5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потоков данных уровня 2. Процесс P5 «Управление файлами и медиа»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dfd2_P5.png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dfd2_P7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потоков данных уровня 2. Процесс P7 «Управление ключами и секретные чаты»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dfd2_P7.png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dfd2_P8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потоков данных уровня 2. Процесс P8 «Модерация и правовое взаимодействие»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dfd2_P8.png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er_acc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Логическая модель данных. Учётные записи, устройства и сессии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er_acc.png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er_soc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Логическая модель данных. Контакты, приватность и ключи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er_soc.png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er_cht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Логическая модель данных. Чаты, участники и организация списка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er_cht.png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er_msg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Логическая модель данных. Сообщения и журнал синхронизации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er_msg.png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er_med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Логическая модель данных. Медиафайлы и хранилище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er_med.png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er_cal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Логическая модель данных. Звонки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er_cal.png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er_mod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Логическая модель данных. Модерация, аудит и фоновые задания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er_mod.png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component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Схема компонентов серверной части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component.png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client_layers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Слоистая архитектура клиента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client_layers.png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deployment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Схема развёртывания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deployment.png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gost_scheme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Схема взаимодействия программ (по ГОСТ 19.701-90)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gost_scheme.png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class01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классов клиента (основные классы)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class01_client.png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class02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классов серверной части (основные классы)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class02_server.png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seq01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Регистрация учётной записи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seq01_register.png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seq02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Вход с нового устройства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seq02_login.png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seq03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Обновление токена доступа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seq03_refresh.png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seq04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Отправка сообщения при наличии связи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seq04_send_online.png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seq05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Отправка сообщения после восстановления связи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seq05_send_offline.png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seq06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Подписка на обновления и пересинхронизация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seq06_subscribe_resync.png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seq07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Загрузка файла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seq07_upload.png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seq08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Получение файла из холодного хранилища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seq08_download_cold.png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seq09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Создание секретного чата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seq09_secret_chat.png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seq10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Удаление сообщений по таймеру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seq10_ttl.png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seq11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Аудио- и видеозвонок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seq11_call.png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seq12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Установка статуса с проверкой текста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seq12_status.png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seq13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Восстановление доступа по ключу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seq13_recovery.png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seq14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Отправка видеокружка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seq14_circle.png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seq15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последовательности. Жалоба и её рассмотрение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seq15_report.png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state01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состояний сообщения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state01_message.png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state02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состояний файла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state02_file.png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state03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состояний сессии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state03_session.png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state04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состояний секретного чата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state04_secret.png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state05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состояний звонка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state05_call.png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state06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состояний запроса подтверждения входа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state06_approval.png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state07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Диаграмма состояний присутствия пользователя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state07_presence.png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flow01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Схема алгоритма работы очереди исходящих сообщений клиента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flow01_outbox.png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flow02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Схема алгоритма проверки текста статуса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flow02_status_filter.png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flow03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Схема алгоритма переноса файлов в холодное хранилище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flow03_tiering.png</w:t>
            </w:r>
          </w:p>
        </w:tc>
      </w:tr>
      <w:tr>
        <w:tc>
          <w:tcPr>
            <w:tcW w:type="dxa" w:w="15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flow04</w:t>
            </w:r>
          </w:p>
        </w:tc>
        <w:tc>
          <w:tcPr>
            <w:tcW w:type="dxa" w:w="55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Схема алгоритма очистки сообщений по таймеру</w:t>
            </w:r>
          </w:p>
        </w:tc>
        <w:tc>
          <w:tcPr>
            <w:tcW w:type="dxa" w:w="248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flow04_purge.png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ЛИСТ РЕГИСТРАЦИИ ИЗМЕНЕНИЙ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Изм.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Номера листов (страниц)</w:t>
              <w:br/>
              <w:t>изменённых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заменённых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новых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аннулированных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Всего листов (страниц)</w:t>
              <w:br/>
              <w:t>в докум.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 докум.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Входящий № сопроводит.</w:t>
              <w:br/>
              <w:t>докум. и дата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Подп.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</w:tbl>
    <w:sectPr w:rsidR="00FC693F" w:rsidRPr="0006063C" w:rsidSect="00034616">
      <w:headerReference w:type="default" r:id="rId9"/>
      <w:pgSz w:w="11906" w:h="16838"/>
      <w:pgMar w:top="1134" w:right="567" w:bottom="1134" w:left="1701" w:header="454" w:footer="454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ТЗ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Техническое задание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