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90 03-ЛУ</w:t>
      </w:r>
    </w:p>
    <w:p>
      <w:pPr>
        <w:spacing w:line="240" w:lineRule="auto"/>
        <w:ind w:firstLine="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r/>
            <w:r/>
          </w:p>
        </w:tc>
        <w:tc>
          <w:tcPr>
            <w:tcW w:type="dxa" w:w="5102"/>
          </w:tcPr>
          <w:p>
            <w:r/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УТВЕРЖДАЮ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Силантьев Никита (владелец проекта)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______________ / Силантьев Н. /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«____» ______________ 2026 г.</w:t>
            </w:r>
          </w:p>
        </w:tc>
      </w:tr>
    </w:tbl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ПРАВОВОЙ АНАЛИЗ И РЕЕСТР ПРАВОВЫХ РИСКОВ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ЛИСТ УТВЕРЖДЕНИЯ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90 03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9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подл.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Взам. инв. №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дубл.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</w:tr>
      <w:tr>
        <w:trPr>
          <w:trHeight w:val="794"/>
        </w:trP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ПРАВОВОЙ АНАЛИЗ И РЕЕСТР ПРАВОВЫХ РИСКОВ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Правовой анализ и реестр правовых рисков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90 03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9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2026</w:t>
      </w:r>
    </w:p>
    <w:p>
      <w:pPr>
        <w:pageBreakBefore/>
        <w:spacing w:line="360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СОДЕРЖАНИЕ</w:t>
      </w:r>
    </w:p>
    <w:p>
      <w:pPr>
        <w:pStyle w:val="toc1"/>
      </w:pPr>
      <w:r>
        <w:rPr>
          <w:rFonts w:ascii="Times New Roman" w:hAnsi="Times New Roman" w:eastAsia="Times New Roman" w:cs="Times New Roman"/>
        </w:rPr>
        <w:fldChar w:fldCharType="begin"/>
      </w:r>
      <w:r>
        <w:rPr>
          <w:rFonts w:ascii="Times New Roman" w:hAnsi="Times New Roman" w:eastAsia="Times New Roman" w:cs="Times New Roman"/>
        </w:rPr>
        <w:instrText xml:space="preserve"> TOC \o "1-2" \h \z \u </w:instrText>
      </w:r>
      <w:r>
        <w:rPr>
          <w:rFonts w:ascii="Times New Roman" w:hAnsi="Times New Roman" w:eastAsia="Times New Roman" w:cs="Times New Roman"/>
        </w:rPr>
        <w:fldChar w:fldCharType="separate"/>
      </w:r>
      <w:r>
        <w:rPr>
          <w:rFonts w:ascii="Times New Roman" w:hAnsi="Times New Roman" w:eastAsia="Times New Roman" w:cs="Times New Roman"/>
          <w:sz w:val="28"/>
        </w:rPr>
        <w:t>1 ВВЕДЕНИЕ</w:t>
      </w:r>
      <w:r>
        <w:rPr>
          <w:rFonts w:ascii="Times New Roman" w:hAnsi="Times New Roman" w:eastAsia="Times New Roman" w:cs="Times New Roman"/>
          <w:sz w:val="28"/>
        </w:rPr>
        <w:tab/>
        <w:t>3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2 ПРОЕКТНЫЕ РЕШЕНИЯ, ВЛИЯЮЩИЕ НА ПРАВОВОЙ СТАТУС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3 РЕЕСТР ПРАВОВЫХ РИСКОВ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4 НОРМАТИВНАЯ ОСНОВА (ДЛЯ ПРОВЕРКИ ЮРИСТОМ)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5 ПЕРЕЧЕНЬ ДЕЙСТВИЙ ПЕРЕД ЗАПУСКОМ</w:t>
      </w:r>
      <w:r>
        <w:rPr>
          <w:rFonts w:ascii="Times New Roman" w:hAnsi="Times New Roman" w:eastAsia="Times New Roman" w:cs="Times New Roman"/>
          <w:sz w:val="28"/>
        </w:rPr>
        <w:tab/>
        <w:t>8</w:t>
      </w:r>
      <w:r>
        <w:rPr>
          <w:rFonts w:ascii="Times New Roman" w:hAnsi="Times New Roman" w:eastAsia="Times New Roman" w:cs="Times New Roman"/>
        </w:rPr>
        <w:fldChar w:fldCharType="end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ВВЕДЕНИЕ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Документ подготовлен ассистентом на основе открытых источников и не является юридической консультацией. Ассистент не юрист. Перечень рисков предназначен для обсуждения с квалифицированным юристом до публичного запуска сервиса.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Назначение – зафиксировать вопросы, которые не решаются разработкой, и показать, как проектные решения их учитывают. Законодательство меняется; сведения необходимо перепроверить на дату запуска.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ПРОЕКТНЫЕ РЕШЕНИЯ, ВЛИЯЮЩИЕ НА ПРАВОВОЙ СТАТУС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 – Решения и последствия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656"/>
        <w:gridCol w:w="5982"/>
      </w:tblGrid>
      <w:tr>
        <w:trPr>
          <w:tblHeader w:val="true"/>
        </w:trPr>
        <w:tc>
          <w:tcPr>
            <w:tcW w:type="dxa" w:w="36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Решение</w:t>
            </w:r>
          </w:p>
        </w:tc>
        <w:tc>
          <w:tcPr>
            <w:tcW w:type="dxa" w:w="598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Правовое следствие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Регистрация без телефона и почты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Конфликт с идентификацией по номеру телефона, если сервис подпадает под соответствующие требования (ПР-01)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Обычные чаты технически доступны серверу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Возможны запросы органов и обязанности по хранению; Соглашение должно прямо об этом говорить (ПР-02, ПР-03, ПР-18)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Секретные чаты со сквозным шифрованием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Сервер не имеет ключей; возможны требования по предоставлению ключей, которые невыполнимы технически (ПР-03)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Пользовательский контент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Распределение ответственности и процедура удаления (ПР-07)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Фильтр текста статуса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Ограничение контента в профиле (ПР-08)</w:t>
            </w:r>
          </w:p>
        </w:tc>
      </w:tr>
      <w:tr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Удаление учётной записи с сохранением обезличенных сообщений</w:t>
            </w:r>
          </w:p>
        </w:tc>
        <w:tc>
          <w:tcPr>
            <w:tcW w:type="dxa" w:w="598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Баланс права на удаление и интересов собеседников (ПР-09)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РЕЕСТР ПРАВОВЫХ РИСКОВ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 – Правовые риски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31"/>
        <w:gridCol w:w="1595"/>
        <w:gridCol w:w="2659"/>
        <w:gridCol w:w="930"/>
        <w:gridCol w:w="2659"/>
        <w:gridCol w:w="1063"/>
      </w:tblGrid>
      <w:tr>
        <w:trPr>
          <w:tblHeader w:val="true"/>
        </w:trPr>
        <w:tc>
          <w:tcPr>
            <w:tcW w:type="dxa" w:w="73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Код</w:t>
            </w:r>
          </w:p>
        </w:tc>
        <w:tc>
          <w:tcPr>
            <w:tcW w:type="dxa" w:w="159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Тема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  <w:tc>
          <w:tcPr>
            <w:tcW w:type="dxa" w:w="93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Уровень</w:t>
            </w:r>
          </w:p>
        </w:tc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Меры</w:t>
            </w:r>
          </w:p>
        </w:tc>
        <w:tc>
          <w:tcPr>
            <w:tcW w:type="dxa" w:w="106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ПР-01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Идентификация пользователей по номеру телефона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Регистрация по нику без телефона может противоречить требованиям к организаторам распространения информации и мессенджерам (в частности ст. 10.2-1 149-ФЗ об идентификации по абонентскому номеру) при подпадании под их действие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Высокий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Получить заключение юриста о статусе сервиса до публичного запуска; заложить в архитектуру возможность подключения внешней идентификации (не включена)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ПР-02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Статус организатора распространения информации (ОРИ)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Возможная обязанность уведомления Роскомнадзора, хранения данных и взаимодействия с органами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Высокий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Юридическая консультация; при необходимости – уведомление и выполнение требований; регламент запросов органов подготовлен (96 01)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ПР-03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Раскрытие ключей шифрования и содержимого по требованию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Требования выдать информацию для декодирования сообщений; сервер не имеет ключей секретных чатов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Высокий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Прозрачно сообщить в Соглашении; предоставлять только имеющиеся данные; юридическая консультация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 / юрист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ПР-04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Локализация персональных данных граждан РФ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ПДн граждан РФ первично собираются и хранятся на территории РФ (152-ФЗ)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Высокий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Размещать основную БД и резервные копии в РФ; холодное хранилище и провайдера выбирать с учётом локализации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ПР-05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Уведомление Роскомнадзора об обработке ПД и утечках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Обязанность уведомлять об обработке и об инцидентах в установленные сроки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Средний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Включить в процедуры эксплуатации; шаблон уведомления; журнал инцидентов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ПР-06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Согласие на обработку ПД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Требуется отдельное, конкретное и осознанное согласие; ведётся журнал согласий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Средний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Документ 94 01; запись </w:t>
            </w:r>
            <w:r>
              <w:rPr>
                <w:rFonts w:ascii="Courier New" w:hAnsi="Courier New" w:eastAsia="Courier New" w:cs="Courier New"/>
                <w:sz w:val="18"/>
              </w:rPr>
              <w:t>consents</w:t>
            </w:r>
            <w:r>
              <w:rPr>
                <w:rFonts w:ascii="Times New Roman" w:hAnsi="Times New Roman" w:eastAsia="Times New Roman" w:cs="Times New Roman"/>
                <w:sz w:val="18"/>
              </w:rPr>
              <w:t>; повторное принятие при смене версии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Разработка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ПР-07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Ответственность за пользовательский контент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Распространение запрещённой информации пользователями; обязанности по удалению после уведомления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Высокий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Соглашение возлагает ответственность на автора; процедура уведомления и удаления; модерация по жалобам; правила сообщества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ПР-08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Фильтр статусов и свобода слова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Ограничение текста статуса (мат, экстремистские высказывания) требует корректных формулировок и обжалования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Средний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Применять только к статусу; словарь ведётся владельцем; предусмотреть обращение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ПР-09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Удаление учётной записи и переписка собеседников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Сообщения остаются у собеседников, автор обезличивается; право на удаление и интересы других лиц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Средний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Описано в Политике хранения; явно указано в Соглашении; решение подлежит юридической проверке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Юрист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ПР-10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Журналы и метаданные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Хранение IP и устройств – персональные данные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Средний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Минимизация, сроки хранения, раскрытие в Политике конфиденциальности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Разработка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ПР-11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Криптографические средства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Распространение и использование шифровальных средств может регулироваться (лицензирование, уведомления, экспорт)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Средний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Юридическая проверка; использовать общедоступные библиотеки; фиксировать состав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Юрист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ПР-12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Публикация в магазинах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Требования RuStore, Google Play и App Store к политикам, удалению аккаунта, возрастным ограничениям, контенту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Средний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Заранее подготовить политику, удаление в приложении, возрастной рейтинг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ПР-13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Возрастные ограничения и несовершеннолетние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Обработка данных детей; защита от вредной информации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Средний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Возрастное ограничение в Соглашении; механизмы жалоб; решение владельца о минимальном возрасте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ПР-14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Лицензии зависимостей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Лицензии открытых библиотек могут накладывать обязательства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Низкий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Реестр лицензий в составе SBOM; проверка перед выпуском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Разработка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ПР-15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Использование звонков и записей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Сервис не записывает звонки; видеокружки хранятся как файлы пользователя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Низкий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Закрепить в Политике конфиденциальности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Разработка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ПР-16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Товарные знаки и название «NEXO»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Возможное совпадение названия с зарегистрированными знаками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Средний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Проверить базы товарных знаков перед публикацией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ПР-17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Субъект ответственности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Для публичного сервиса нужен оператор – лицо с реквизитами (ИП, самозанятый или организация)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Высокий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Определить оператора до публикации; внести реквизиты в документы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</w:t>
            </w:r>
          </w:p>
        </w:tc>
      </w:tr>
      <w:tr>
        <w:tc>
          <w:tcPr>
            <w:tcW w:type="dxa" w:w="7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ПР-18</w:t>
            </w:r>
          </w:p>
        </w:tc>
        <w:tc>
          <w:tcPr>
            <w:tcW w:type="dxa" w:w="159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Хранение переписки по закону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Возможные требования хранения содержимого и метаданных заданный срок</w:t>
            </w:r>
          </w:p>
        </w:tc>
        <w:tc>
          <w:tcPr>
            <w:tcW w:type="dxa" w:w="93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Высокий</w:t>
            </w:r>
          </w:p>
        </w:tc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Юридическая консультация; Политика хранения должна быть согласована</w:t>
            </w:r>
          </w:p>
        </w:tc>
        <w:tc>
          <w:tcPr>
            <w:tcW w:type="dxa" w:w="106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Юрист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НОРМАТИВНАЯ ОСНОВА (ДЛЯ ПРОВЕРКИ ЮРИСТОМ)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Федеральный закон от 27.07.2006 № 149-ФЗ «Об информации, информационных технологиях и о защите информации» (в частности статьи 10.1 и 10.2-1);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Федеральный закон от 27.07.2006 № 152-ФЗ «О персональных данных»;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Гражданский кодекс Российской Федерации (договор присоединения, ответственность);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требования магазинов приложений (RuStore, Google Play, App Store);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при обслуживании пользователей из иных юрисдикций – применимые местные нормы (например, GDPR).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ПЕРЕЧЕНЬ ДЕЙСТВИЙ ПЕРЕД ЗАПУСКОМ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определить оператора сервиса и его реквизиты (ПР-17);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получить юридическое заключение по ПР-01, ПР-02, ПР-03, ПР-11, ПР-18;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выбрать размещение данных с учётом локализации (ПР-04);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утвердить юридические документы (91 01 – 96 01) после проверки юристом;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</w:rPr>
        <w:t>подать уведомление об обработке ПД при необходимости (ПР-05);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6)</w:t>
        <w:tab/>
      </w:r>
      <w:r>
        <w:rPr>
          <w:rFonts w:ascii="Times New Roman" w:hAnsi="Times New Roman" w:eastAsia="Times New Roman" w:cs="Times New Roman"/>
        </w:rPr>
        <w:t>проверить название на товарные знаки (ПР-16);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7)</w:t>
        <w:tab/>
      </w:r>
      <w:r>
        <w:rPr>
          <w:rFonts w:ascii="Times New Roman" w:hAnsi="Times New Roman" w:eastAsia="Times New Roman" w:cs="Times New Roman"/>
        </w:rPr>
        <w:t>подготовить материалы для публикации в магазинах (ПР-12).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ЛИСТ РЕГИСТРАЦИИ ИЗМЕНЕНИЙ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Изм.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Номера листов (страниц)</w:t>
              <w:br/>
              <w:t>изменённых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заменённых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новых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аннулированных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Всего листов (страниц)</w:t>
              <w:br/>
              <w:t>в докум.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 докум.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Входящий № сопроводит.</w:t>
              <w:br/>
              <w:t>докум. и дата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Подп.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90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Правовой анализ и реестр правовых рисков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