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РЕГЛАМЕНТ РАССМОТРЕНИЯ ЗАПРОСОВ УПОЛНОМОЧЕННЫХ ОРГАНОВ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Регламент рассмотрения запросов уполномоченных органов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96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Оператор: [НАИМЕНОВАНИЕ ОПЕРАТОРА, ОГРН/ИНН, АДРЕС — заполняется до публикации]. Внутренний документ.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ЦЕЛЬ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Единый порядок реагирования на запросы государственных органов и иных лиц о предоставлении данных пользователей: законность, минимальный объём, фиксация, прозрачность в пределах закона.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ПРИНЦИПЫ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выполняются только надлежащим образом оформленные запросы, основанные на законе;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объём раскрытия – минимально необходимый и только имеющиеся данные;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содержимое секретных чатов технически недоступно и не раскрывается;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решение принимает уполномоченное лицо Оператора после проверки юристом; каждое действие записывается;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пользователь уведомляется, если закон не запрещает уведомление.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ПОРЯДОК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Регистрация запроса: дата, орган, основание, реквизиты, срок ответа (журнал обращений).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Проверка: полномочия органа, форма, правовое основание, идентификация пользователя.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Юридическая оценка: законность, объём, возможность исполнения.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Определение объёма: данные учётной записи, метаданные, содержимое обычных чатов (если прямо требуется законом).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Выгрузка уполномоченным сотрудником, запись в журнал аудита.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Направление ответа в установленный срок; отказ в мотивированной форме, если запрос неправомерен или невыполним.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</w:rPr>
        <w:t>Хранение запроса и ответа 3 года.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ДОСТУПНЫЕ ДАННЫЕ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Данные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318"/>
        <w:gridCol w:w="4320"/>
      </w:tblGrid>
      <w:tr>
        <w:trPr>
          <w:tblHeader w:val="true"/>
        </w:trPr>
        <w:tc>
          <w:tcPr>
            <w:tcW w:type="dxa" w:w="531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Категория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Доступность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Ник, имя, аватар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Доступны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Устройства, IP-адреса сессий (в пределах сроков хранения)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Доступны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События безопасности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Доступны в пределах срока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Содержимое обычных чатов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Технически доступно; раскрывается только при прямом требовании закона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Содержимое секретных чатов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Недоступно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Пароль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Оператору неизвестен</w:t>
            </w:r>
          </w:p>
        </w:tc>
      </w:tr>
      <w:tr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Звонки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 записываются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ОТЧЁТНОСТЬ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Ведётся журнал: число запросов, основания, результат. Сведения агрегированно публикуются, если это допускается законом.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96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Регламент рассмотрения запросов уполномоченных органов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