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D78"/>
          <w:sz w:val="44"/>
        </w:rPr>
        <w:t>ОТЧЕТ ПО ФОРМАМ И ЗАЯВКАМ</w:t>
      </w:r>
    </w:p>
    <w:p>
      <w:pPr>
        <w:spacing w:after="320"/>
      </w:pPr>
      <w:r>
        <w:rPr>
          <w:rFonts w:ascii="Calibri" w:hAnsi="Calibri"/>
          <w:b w:val="0"/>
          <w:color w:val="5A626C"/>
          <w:sz w:val="24"/>
        </w:rPr>
        <w:t>Завершение унификации и проверки сайтов после переноса на Beget</w:t>
      </w:r>
    </w:p>
    <w:p>
      <w:pPr>
        <w:spacing w:after="80" w:line="264" w:lineRule="auto"/>
      </w:pPr>
      <w:r>
        <w:rPr>
          <w:rFonts w:ascii="Calibri" w:hAnsi="Calibri"/>
          <w:b/>
          <w:sz w:val="22"/>
        </w:rPr>
        <w:t xml:space="preserve">Дата: </w:t>
      </w:r>
      <w:r>
        <w:rPr>
          <w:rFonts w:ascii="Calibri" w:hAnsi="Calibri"/>
          <w:b w:val="0"/>
          <w:sz w:val="22"/>
        </w:rPr>
        <w:t>20 июля 2026 года</w:t>
      </w:r>
    </w:p>
    <w:p>
      <w:pPr>
        <w:spacing w:after="80" w:line="264" w:lineRule="auto"/>
      </w:pPr>
      <w:r>
        <w:rPr>
          <w:rFonts w:ascii="Calibri" w:hAnsi="Calibri"/>
          <w:b/>
          <w:sz w:val="22"/>
        </w:rPr>
        <w:t xml:space="preserve">Объем: </w:t>
      </w:r>
      <w:r>
        <w:rPr>
          <w:rFonts w:ascii="Calibri" w:hAnsi="Calibri"/>
          <w:b w:val="0"/>
          <w:sz w:val="22"/>
        </w:rPr>
        <w:t>30 применимых сайтов; 5 исключений клиента</w:t>
      </w:r>
    </w:p>
    <w:p>
      <w:pPr>
        <w:spacing w:after="80" w:line="264" w:lineRule="auto"/>
      </w:pPr>
      <w:r>
        <w:rPr>
          <w:rFonts w:ascii="Calibri" w:hAnsi="Calibri"/>
          <w:b/>
          <w:sz w:val="22"/>
        </w:rPr>
        <w:t xml:space="preserve">Статус: </w:t>
      </w:r>
      <w:r>
        <w:rPr>
          <w:rFonts w:ascii="Calibri" w:hAnsi="Calibri"/>
          <w:b w:val="0"/>
          <w:sz w:val="22"/>
        </w:rPr>
        <w:t>Формы опубликованы, визуально проверены и протестированы отправкой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 xml:space="preserve">Итого к оплате: </w:t>
            </w:r>
            <w:r>
              <w:rPr>
                <w:rFonts w:ascii="Calibri" w:hAnsi="Calibri"/>
                <w:b/>
                <w:sz w:val="22"/>
              </w:rPr>
              <w:t>74 500 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Что приведено к единому стандарту</w:t>
      </w:r>
    </w:p>
    <w:p>
      <w:r>
        <w:t>На применимых сайтах доступны две формы: «ЗАКАЗАТЬ ЗВОНОК» с телефоном и простой капчей, а также «ЗАДАТЬ ВОПРОС» с e-mail, необязательным вопросом и простой капчей.</w:t>
      </w:r>
    </w:p>
    <w:p>
      <w:r>
        <w:t>Добавлены согласие на обработку персональных данных, ссылка на политику, заметное закрытие, единый текст успешной отправки, серверная проверка и честный вывод ошибок.</w:t>
      </w:r>
    </w:p>
    <w:p>
      <w:r>
        <w:t>Получатели не заменялись на Gmail: заявки направляются в штатный ящик каждого сайта.</w:t>
      </w:r>
    </w:p>
    <w:p>
      <w:pPr>
        <w:pStyle w:val="Heading1"/>
        <w:keepNext/>
      </w:pPr>
      <w:r>
        <w:t>Результат по каждому сайту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950"/>
        <w:gridCol w:w="4000"/>
        <w:gridCol w:w="1760"/>
      </w:tblGrid>
      <w:tr>
        <w:trPr>
          <w:tblHeader w:val="true"/>
        </w:trPr>
        <w:tc>
          <w:tcPr>
            <w:tcW w:type="dxa" w:w="1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Сайт</w:t>
            </w:r>
          </w:p>
        </w:tc>
        <w:tc>
          <w:tcPr>
            <w:tcW w:type="dxa" w:w="19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Получатель</w:t>
            </w:r>
          </w:p>
        </w:tc>
        <w:tc>
          <w:tcPr>
            <w:tcW w:type="dxa" w:w="4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Выполнено</w:t>
            </w:r>
          </w:p>
        </w:tc>
        <w:tc>
          <w:tcPr>
            <w:tcW w:type="dxa" w:w="1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Результат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apreal.ru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info@apreal.ru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Ранее исправленные формы сверены с единым стандартом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Работает, получение подтверждал клиент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docp.ru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info@docp.ru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Установлены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mca24.ru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info@mca24.ru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Сохранены исправленные формы, вопрос необязательный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Работает, получение подтверждал клиент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fsa-lab.ru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info@fsa-lab.ru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Действующие формы нормализованы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Работает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elecktro.ru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info@elecktro.ru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Добавлена единая пара форм, сохранены исправленные CTA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med-license.ru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info@med-license.ru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Действующие формы нормализованы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Работает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mhsl.ru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info@mhsl.ru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Действующие формы нормализованы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Работает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fste.ru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info@fste.ru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формы и статический обработчик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Реальные звонок и вопрос приняты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otxodi.ru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info@otxodi.ru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lfsb.ru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info@lfsb.ru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формы и статический обработчик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apreal.spb.ru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spb@apreal.ru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minkult78.ru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info@minkult78.ru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medlic.spb.ru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info@medlic.spb.ru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Обновлена и унифицирована пара форм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medtex78.ru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info@medtex78.ru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mchs-spb.ru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info@mchs-spb.ru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Действующие формы нормализованы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Работает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mchs78.ru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info@mchs78.ru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license39.ru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info@license39.ru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medtex39.ru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info@medtex39.ru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формы и статический обработчик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39mchs.ru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info@39mchs.ru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apreal36.ru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info@apreal36.ru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Действующие формы нормализованы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Работает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apreal-nn.ru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info@apreal-nn.ru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apreal-volgograd.ru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vlg-ap@bk.ru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формы; отключены три устаревшие CF7-формы, через одну из которых шел спам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Новая заявка принята, старый маршрут возвращает spam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apreal72.ru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info@apreal72.ru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nousro.ru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info@nousro.ru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dpomuc.ru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info@dpomuc.ru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nousro-spb.ru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spb@nousro.ru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Сохранены ранее исправленные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Работает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ed-kgd.ru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info@ed-kgd.ru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формы, подключен вывод футера темы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muc-vrn.ru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info@muc-vrn.ru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nousro-nn.ru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info@nousro-nn.ru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единые формы, изолированы от сдвига старой темы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shopap.ru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info@shopap.ru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Добавлены две формы через безопасные шаблоны OpenCart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Реальная заявка принята</w:t>
            </w:r>
          </w:p>
        </w:tc>
      </w:tr>
    </w:tbl>
    <w:p>
      <w:pPr>
        <w:pStyle w:val="Heading1"/>
        <w:keepNext/>
      </w:pPr>
      <w:r>
        <w:t>Исключения клиента</w:t>
      </w:r>
    </w:p>
    <w:p>
      <w:r>
        <w:t>Формы не добавлялись и не изменялись на rectavr.ru, fstek.spb.ru, lic-k.ru, apreal-samara.ru и ed-krd.ru.</w:t>
      </w:r>
    </w:p>
    <w:p>
      <w:pPr>
        <w:pStyle w:val="Heading1"/>
        <w:keepNext/>
      </w:pPr>
      <w:r>
        <w:t>Проверки</w:t>
      </w:r>
    </w:p>
    <w:p>
      <w:pPr>
        <w:spacing w:after="80" w:line="264" w:lineRule="auto"/>
      </w:pPr>
      <w:r>
        <w:rPr>
          <w:rFonts w:ascii="Calibri" w:hAnsi="Calibri"/>
          <w:b/>
          <w:sz w:val="22"/>
        </w:rPr>
        <w:t xml:space="preserve">Публичная доступность: </w:t>
      </w:r>
      <w:r>
        <w:rPr>
          <w:rFonts w:ascii="Calibri" w:hAnsi="Calibri"/>
          <w:b w:val="0"/>
          <w:sz w:val="22"/>
        </w:rPr>
        <w:t>30 из 30 сайтов отвечают HTTP 200.</w:t>
      </w:r>
    </w:p>
    <w:p>
      <w:pPr>
        <w:spacing w:after="80" w:line="264" w:lineRule="auto"/>
      </w:pPr>
      <w:r>
        <w:rPr>
          <w:rFonts w:ascii="Calibri" w:hAnsi="Calibri"/>
          <w:b/>
          <w:sz w:val="22"/>
        </w:rPr>
        <w:t xml:space="preserve">Визуальная проверка: </w:t>
      </w:r>
      <w:r>
        <w:rPr>
          <w:rFonts w:ascii="Calibri" w:hAnsi="Calibri"/>
          <w:b w:val="0"/>
          <w:sz w:val="22"/>
        </w:rPr>
        <w:t>30 из 30 сайтов прошли отдельный Chromium-прогон: обе формы, закрытие, поля, политика и мобильный экран 390×844.</w:t>
      </w:r>
    </w:p>
    <w:p>
      <w:pPr>
        <w:spacing w:after="80" w:line="264" w:lineRule="auto"/>
      </w:pPr>
      <w:r>
        <w:rPr>
          <w:rFonts w:ascii="Calibri" w:hAnsi="Calibri"/>
          <w:b/>
          <w:sz w:val="22"/>
        </w:rPr>
        <w:t xml:space="preserve">Реальные заявки: </w:t>
      </w:r>
      <w:r>
        <w:rPr>
          <w:rFonts w:ascii="Calibri" w:hAnsi="Calibri"/>
          <w:b w:val="0"/>
          <w:sz w:val="22"/>
        </w:rPr>
        <w:t>Через каждый из 22 новых обработчиков отправлена маркированная заявка; 22 из 22 приняты почтовым транспортом.</w:t>
      </w:r>
    </w:p>
    <w:p>
      <w:pPr>
        <w:spacing w:after="80" w:line="264" w:lineRule="auto"/>
      </w:pPr>
      <w:r>
        <w:rPr>
          <w:rFonts w:ascii="Calibri" w:hAnsi="Calibri"/>
          <w:b/>
          <w:sz w:val="22"/>
        </w:rPr>
        <w:t xml:space="preserve">Форма вопроса: </w:t>
      </w:r>
      <w:r>
        <w:rPr>
          <w:rFonts w:ascii="Calibri" w:hAnsi="Calibri"/>
          <w:b w:val="0"/>
          <w:sz w:val="22"/>
        </w:rPr>
        <w:t>Валидация проверена на всех 22 обработчиках; реальные вопросы дополнительно приняты docp.ru и fste.ru.</w:t>
      </w:r>
    </w:p>
    <w:p>
      <w:pPr>
        <w:spacing w:after="80" w:line="264" w:lineRule="auto"/>
      </w:pPr>
      <w:r>
        <w:rPr>
          <w:rFonts w:ascii="Calibri" w:hAnsi="Calibri"/>
          <w:b/>
          <w:sz w:val="22"/>
        </w:rPr>
        <w:t xml:space="preserve">Сервер: </w:t>
      </w:r>
      <w:r>
        <w:rPr>
          <w:rFonts w:ascii="Calibri" w:hAnsi="Calibri"/>
          <w:b w:val="0"/>
          <w:sz w:val="22"/>
        </w:rPr>
        <w:t>18 WordPress-компонентов прошли php -l; контрольные суммы серверных и локальных файлов совпали.</w:t>
      </w:r>
    </w:p>
    <w:p>
      <w:pPr>
        <w:pStyle w:val="Heading1"/>
        <w:keepNext/>
      </w:pPr>
      <w:r>
        <w:t>Дополнительные исправления</w:t>
      </w:r>
    </w:p>
    <w:p>
      <w:r>
        <w:t>Устранены проблемы старой кодировки на fste.ru и lfsb.ru, наложение скрытых модальных окон, перекрытие кнопок чатами и сдвиг форм старой темой nousro-nn.ru.</w:t>
      </w:r>
    </w:p>
    <w:p>
      <w:r>
        <w:t>На shopap.ru безопасное подключение выполнено через шаблоны футера OpenCart; сайт повторно проверен после восстановления исходного index.php.</w:t>
      </w:r>
    </w:p>
    <w:p>
      <w:r>
        <w:t>Спам apreal-volgograd.ru шел через старую CF7-форму №3317 без капчи. Три устаревшие CF7-формы отключены. Прямой бот-POST теперь возвращает status: spam, новая форма продолжает принимать заявки.</w:t>
      </w:r>
    </w:p>
    <w:p>
      <w:pPr>
        <w:pStyle w:val="Heading1"/>
        <w:keepNext/>
      </w:pPr>
      <w:r>
        <w:t>Почта и DKIM</w:t>
      </w:r>
    </w:p>
    <w:p>
      <w:r>
        <w:t>MX и SPF у apreal36.ru и mchs-spb.ru настроены. Присланный клиентом DKIM относится к dpomuc.ru и не может использоваться для других доменов. Нужны два отдельных значения из VK Workspace после выбора сначала apreal36.ru, затем mchs-spb.ru.</w:t>
      </w:r>
    </w:p>
    <w:p>
      <w:pPr>
        <w:pStyle w:val="Heading1"/>
        <w:keepNext/>
      </w:pPr>
      <w:r>
        <w:t>Оплата</w:t>
      </w:r>
    </w:p>
    <w:p>
      <w:pPr>
        <w:spacing w:after="80" w:line="264" w:lineRule="auto"/>
      </w:pPr>
      <w:r>
        <w:rPr>
          <w:rFonts w:ascii="Calibri" w:hAnsi="Calibri"/>
          <w:b/>
          <w:sz w:val="22"/>
        </w:rPr>
        <w:t xml:space="preserve">Перенос сайтов: </w:t>
      </w:r>
      <w:r>
        <w:rPr>
          <w:rFonts w:ascii="Calibri" w:hAnsi="Calibri"/>
          <w:b w:val="0"/>
          <w:sz w:val="22"/>
        </w:rPr>
        <w:t>45 000 ₽</w:t>
      </w:r>
    </w:p>
    <w:p>
      <w:pPr>
        <w:spacing w:after="80" w:line="264" w:lineRule="auto"/>
      </w:pPr>
      <w:r>
        <w:rPr>
          <w:rFonts w:ascii="Calibri" w:hAnsi="Calibri"/>
          <w:b/>
          <w:sz w:val="22"/>
        </w:rPr>
        <w:t xml:space="preserve">Ранее согласованные исправления: </w:t>
      </w:r>
      <w:r>
        <w:rPr>
          <w:rFonts w:ascii="Calibri" w:hAnsi="Calibri"/>
          <w:b w:val="0"/>
          <w:sz w:val="22"/>
        </w:rPr>
        <w:t>29 500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 xml:space="preserve">Общая сумма: </w:t>
            </w:r>
            <w:r>
              <w:rPr>
                <w:rFonts w:ascii="Calibri" w:hAnsi="Calibri"/>
                <w:b/>
                <w:sz w:val="22"/>
              </w:rPr>
              <w:t>74 500 ₽</w:t>
            </w:r>
          </w:p>
        </w:tc>
      </w:tr>
    </w:tbl>
    <w:p>
      <w:pPr>
        <w:spacing w:after="0"/>
      </w:pPr>
    </w:p>
    <w:p>
      <w:r>
        <w:t>Отдельная сумма за завершающую унификацию форм не начислялась. Клиент сообщил, что бухгалтерия пришлет реквизиты для счета 21 июля 2026 года.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26C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A626C"/>
        <w:sz w:val="18"/>
      </w:rPr>
      <w:t>АП-Риал | Отчет по формам и заявкам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