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Calibri"/>
          <w:b/>
          <w:color w:val="2E74B5"/>
          <w:sz w:val="20"/>
        </w:rPr>
        <w:t>СОПРОВОДИТЕЛЬНОЕ ПИСЬМО</w:t>
      </w:r>
    </w:p>
    <w:p>
      <w:pPr>
        <w:spacing w:after="360"/>
      </w:pPr>
      <w:r>
        <w:rPr>
          <w:rFonts w:ascii="Calibri" w:hAnsi="Calibri" w:eastAsia="Calibri"/>
          <w:b/>
          <w:color w:val="1F4D78"/>
          <w:sz w:val="44"/>
        </w:rPr>
        <w:t>К итоговому отчёту по сайтам</w:t>
      </w:r>
    </w:p>
    <w:p>
      <w:pPr>
        <w:spacing w:after="200"/>
      </w:pPr>
      <w:r>
        <w:t>Альберт, добрый день.</w:t>
      </w:r>
    </w:p>
    <w:p>
      <w:pPr>
        <w:spacing w:after="200"/>
      </w:pPr>
      <w:r>
        <w:t>По итогам вашей обратной связи я полностью пересобрал контроль работ по сайтам. Ранее я преждевременно подтвердил завершение части многосайтовых задач: автоматические проверки показывали доступность отдельных страниц и сценариев, но мой процесс не требовал отдельного подтверждения каждого пункта на каждом сайте. Из-за этого часть фактических несоответствий не попала в мой отчёт. Это моя ошибка в организации контроля.</w:t>
      </w:r>
    </w:p>
    <w:p>
      <w:pPr>
        <w:spacing w:after="200"/>
      </w:pPr>
      <w:r>
        <w:t>Повторно составлять список замечаний вам не требуется. Я заново сверил исходные поручения, проверил опубликованные версии на компьютере и телефоне, выполнил 60 контрольных отправок форм, сверил 48 настроек получателей с согласованной матрицей и отдельно подтвердил обе формы medlic.spb.ru в доступном ящике info@medlic.spb.ru. Найденные дефекты устранены.</w:t>
      </w:r>
    </w:p>
    <w:p>
      <w:pPr>
        <w:spacing w:after="200"/>
      </w:pPr>
      <w:r>
        <w:t>В приложенном отчёте простым языком указано, что выполнено и чем это подтверждено. Отдельно перечислены только позиции, для которых объективно нужен отсутствующий домен, исходник, доступ или ваше решение. Они не выданы за завершённые.</w:t>
      </w:r>
    </w:p>
    <w:p>
      <w:pPr>
        <w:spacing w:after="200"/>
      </w:pPr>
      <w:r>
        <w:t>После этого случая я изменил порядок приёмки: многосайтовая задача не считается выполненной, пока по каждому требованию и каждому сайту нет отдельной проверки и доказательства результата.</w:t>
      </w:r>
    </w:p>
    <w:p>
      <w:pPr>
        <w:spacing w:after="0"/>
      </w:pPr>
      <w:r>
        <w:t>С уважением,</w:t>
        <w:br/>
        <w:t>Никита Тихомиров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4B5563"/>
        <w:sz w:val="17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  <w:r>
      <w:rPr>
        <w:rFonts w:ascii="Calibri" w:hAnsi="Calibri" w:eastAsia="Calibri"/>
        <w:color w:val="4B5563"/>
        <w:sz w:val="17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4B5563"/>
        <w:sz w:val="17"/>
      </w:rPr>
      <w:t>ГК «АП-Риал» | Сопроводительное письмо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