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загрузки в WordPress</w:t>
      </w:r>
    </w:p>
    <w:p>
      <w:pPr>
        <w:pStyle w:val="ListBullet"/>
      </w:pPr>
      <w:r>
        <w:t>Главную страницу загружать с полным `the_content` и всеми блоками `cat87_*`.</w:t>
      </w:r>
    </w:p>
    <w:p>
      <w:pPr>
        <w:pStyle w:val="ListBullet"/>
      </w:pPr>
      <w:r>
        <w:t>Внутренние коммерческие страницы заполнять по `ns87_*` полностью, без пустых Problem/Solution/Prices/FAQ.</w:t>
      </w:r>
    </w:p>
    <w:p>
      <w:pPr>
        <w:pStyle w:val="ListBullet"/>
      </w:pPr>
      <w:r>
        <w:t>DIY-страницу `/svoimi-rukami/` в этот пакет не включать: она остается вне текущего коммерческого кластера.</w:t>
      </w:r>
    </w:p>
    <w:p>
      <w:pPr>
        <w:pStyle w:val="ListBullet"/>
      </w:pPr>
      <w:r>
        <w:t>После загрузки проверить CTA, цены, корректность кириллицы и внутренние ссылки на `/avtopoliv-na-uchastke/cena/`.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