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C02A7" w:rsidRDefault="001C02A7" w:rsidP="001C02A7">
      <w:r>
        <w:t>1) Le rapport souligne un décalage critique entre les ambitions affichées et la réalité physique du réchauffement.</w:t>
      </w:r>
    </w:p>
    <w:p w:rsidR="001C02A7" w:rsidRDefault="001C02A7" w:rsidP="001C02A7"/>
    <w:p w:rsidR="001C02A7" w:rsidRDefault="001C02A7" w:rsidP="001C02A7">
      <w:r>
        <w:t>Les engagements pris dans le cadre de l'Accord de Paris mèneraient à des émissions de 52 à 58 GtéqCO2 an⁻¹ en 2030, une trajectoire cohérente avec un réchauffement d'environ 3 °C d'ici 2100.</w:t>
      </w:r>
    </w:p>
    <w:p w:rsidR="001C02A7" w:rsidRDefault="001C02A7" w:rsidP="001C02A7">
      <w:r>
        <w:t xml:space="preserve">Pour limiter le réchauffement à 1,5 °C sans dépassement (ou avec un dépassement minime), </w:t>
      </w:r>
      <w:r w:rsidRPr="001C02A7">
        <w:rPr>
          <w:highlight w:val="yellow"/>
        </w:rPr>
        <w:t>les émissions mondiales doivent chuter de 40 à 50 % par rapport aux niveaux de 2010 d'ici 2030.</w:t>
      </w:r>
    </w:p>
    <w:p w:rsidR="001C02A7" w:rsidRDefault="001C02A7" w:rsidP="001C02A7">
      <w:r>
        <w:t xml:space="preserve">Attendre après 2030 pour agir augmente drastiquement les coûts, entraîne une dépendance aux infrastructures </w:t>
      </w:r>
      <w:proofErr w:type="gramStart"/>
      <w:r>
        <w:t>carbonées  et</w:t>
      </w:r>
      <w:proofErr w:type="gramEnd"/>
      <w:r>
        <w:t xml:space="preserve"> oblige à un recours massif et incertain aux technologies d'élimination du CO2.</w:t>
      </w:r>
    </w:p>
    <w:p w:rsidR="001C02A7" w:rsidRDefault="001C02A7" w:rsidP="001C02A7"/>
    <w:p w:rsidR="001C02A7" w:rsidRDefault="001C02A7" w:rsidP="001C02A7">
      <w:r>
        <w:t>2) Le GIEC démontre que les mesures d'atténuation ne sont pas seulement climatiques, elles impactent directement les 17 ODD. Globalement, les bénéfices (synergies) surpassent largement les risques (compromis).</w:t>
      </w:r>
    </w:p>
    <w:p w:rsidR="001C02A7" w:rsidRDefault="001C02A7" w:rsidP="001C02A7"/>
    <w:p w:rsidR="001C02A7" w:rsidRDefault="001C02A7" w:rsidP="001C02A7">
      <w:r>
        <w:t>Secteur de l'Énergie (Offre et Demande</w:t>
      </w:r>
      <w:proofErr w:type="gramStart"/>
      <w:r>
        <w:t>):</w:t>
      </w:r>
      <w:proofErr w:type="gramEnd"/>
    </w:p>
    <w:p w:rsidR="001C02A7" w:rsidRDefault="001C02A7" w:rsidP="001C02A7">
      <w:r>
        <w:t>Les transitions énergétiques soutiennent fortement la santé (ODD 3), l'accès à l'énergie propre (ODD 7) et la création de villes durables (ODD 11).</w:t>
      </w:r>
    </w:p>
    <w:p w:rsidR="001C02A7" w:rsidRDefault="001C02A7" w:rsidP="001C02A7">
      <w:r>
        <w:t>Des compromis peuvent apparaître pour l'eau propre (ODD 6) si certaines technologies de production d'énergie sont trop gourmandes en eau.</w:t>
      </w:r>
    </w:p>
    <w:p w:rsidR="001C02A7" w:rsidRDefault="001C02A7" w:rsidP="001C02A7">
      <w:r w:rsidRPr="001C02A7">
        <w:rPr>
          <w:highlight w:val="yellow"/>
        </w:rPr>
        <w:t>Les trajectoires privilégiant une faible demande énergétique (scénario P1) sont celles qui présentent le plus de bénéfices sociaux et le moins de risques environnementaux.</w:t>
      </w:r>
    </w:p>
    <w:p w:rsidR="001C02A7" w:rsidRDefault="001C02A7" w:rsidP="001C02A7"/>
    <w:p w:rsidR="001C02A7" w:rsidRDefault="001C02A7" w:rsidP="001C02A7">
      <w:r>
        <w:t xml:space="preserve">Secteur des Terres </w:t>
      </w:r>
      <w:proofErr w:type="gramStart"/>
      <w:r>
        <w:t>Émergées:</w:t>
      </w:r>
      <w:proofErr w:type="gramEnd"/>
    </w:p>
    <w:p w:rsidR="001C02A7" w:rsidRDefault="001C02A7" w:rsidP="001C02A7"/>
    <w:p w:rsidR="001C02A7" w:rsidRDefault="001C02A7" w:rsidP="001C02A7">
      <w:r>
        <w:t xml:space="preserve">Une gestion durable des terres </w:t>
      </w:r>
      <w:r w:rsidRPr="001C02A7">
        <w:rPr>
          <w:color w:val="FF0000"/>
        </w:rPr>
        <w:t xml:space="preserve">favorise </w:t>
      </w:r>
      <w:r>
        <w:t>la vie terrestre (ODD 15) et peut aider à la lutte contre la faim (ODD 2).</w:t>
      </w:r>
    </w:p>
    <w:p w:rsidR="001C02A7" w:rsidRDefault="001C02A7" w:rsidP="001C02A7">
      <w:r>
        <w:t>Une mise en œuvre mal maîtrisée de la bioénergie ou du reboisement massif peut entrer en compétition avec la production alimentaire, menaçant la sécurité alimentaire et les moyens de subsistance des populations rurales.</w:t>
      </w:r>
    </w:p>
    <w:p w:rsidR="001C02A7" w:rsidRDefault="001C02A7" w:rsidP="001C02A7"/>
    <w:p w:rsidR="001C02A7" w:rsidRDefault="001C02A7" w:rsidP="001C02A7">
      <w:r>
        <w:t>3) La limitation à 1,5 °C exige une transformation profonde de la société, soutenue par des leviers financiers et politiques.</w:t>
      </w:r>
    </w:p>
    <w:p w:rsidR="001C02A7" w:rsidRDefault="001C02A7" w:rsidP="001C02A7"/>
    <w:p w:rsidR="001C02A7" w:rsidRDefault="001C02A7" w:rsidP="001C02A7">
      <w:r>
        <w:t xml:space="preserve">Les investissements annuels moyens dans le système énergétique mondial doivent s'élever à environ </w:t>
      </w:r>
      <w:r w:rsidRPr="001C02A7">
        <w:rPr>
          <w:highlight w:val="yellow"/>
        </w:rPr>
        <w:t>2 400 milliards de dollars (2,5 % du PIB mondial) entre 2016 et 2035.</w:t>
      </w:r>
    </w:p>
    <w:p w:rsidR="001C02A7" w:rsidRDefault="001C02A7" w:rsidP="001C02A7">
      <w:r>
        <w:lastRenderedPageBreak/>
        <w:t>Les politiques de redistribution sont essentielles pour protéger les plus vulnérables. Le coût de ces mesures sociales ne représente qu'une "petite fraction" des investissements climatiques totaux.</w:t>
      </w:r>
    </w:p>
    <w:p w:rsidR="001C02A7" w:rsidRDefault="001C02A7" w:rsidP="001C02A7">
      <w:r>
        <w:t>Le succès repose sur l'adoption de technologies de rupture, mais aussi sur l'éducation et les savoirs autochtones pour accélérer l'évolution des modes de vie.</w:t>
      </w:r>
    </w:p>
    <w:p w:rsidR="001C02A7" w:rsidRDefault="001C02A7" w:rsidP="001C02A7"/>
    <w:p w:rsidR="001C02A7" w:rsidRDefault="001C02A7" w:rsidP="001C02A7">
      <w:r>
        <w:t>4) Le rapport conclut que l'objectif de 1,5 °C est indissociable de la justice internationale.</w:t>
      </w:r>
    </w:p>
    <w:p w:rsidR="001C02A7" w:rsidRDefault="001C02A7" w:rsidP="001C02A7"/>
    <w:p w:rsidR="001C02A7" w:rsidRDefault="001C02A7" w:rsidP="001C02A7">
      <w:r>
        <w:t>La coopération est le catalyseur indispensable pour permettre aux pays en développement d'accéder aux financements et aux technologies.</w:t>
      </w:r>
    </w:p>
    <w:p w:rsidR="007C0033" w:rsidRDefault="001C02A7" w:rsidP="001C02A7">
      <w:r>
        <w:t xml:space="preserve">Le développement durable renforce la résilience climatique. À l'inverse, </w:t>
      </w:r>
      <w:r w:rsidRPr="001C02A7">
        <w:rPr>
          <w:highlight w:val="yellow"/>
        </w:rPr>
        <w:t>sans coopération et sans réduction des inégalités, limiter le réchauffement à 1,5 °C devient quasi impossible selon les modèles.</w:t>
      </w:r>
      <w:bookmarkStart w:id="0" w:name="_GoBack"/>
      <w:bookmarkEnd w:id="0"/>
    </w:p>
    <w:sectPr w:rsidR="007C003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2A7"/>
    <w:rsid w:val="001C02A7"/>
    <w:rsid w:val="007C0033"/>
    <w:rsid w:val="00C0512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AF5B89-E4B4-4839-8F36-21CFF1A03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439</Words>
  <Characters>2419</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Eloise Rene</dc:creator>
  <cp:keywords/>
  <dc:description/>
  <cp:lastModifiedBy>Eloise Rene</cp:lastModifiedBy>
  <cp:revision>1</cp:revision>
  <dcterms:created xsi:type="dcterms:W3CDTF">2026-03-09T13:49:00Z</dcterms:created>
  <dcterms:modified xsi:type="dcterms:W3CDTF">2026-03-09T13:53:00Z</dcterms:modified>
</cp:coreProperties>
</file>