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4ED0" w14:textId="30ED801D" w:rsidR="00721E5C" w:rsidRDefault="00721E5C">
      <w:r>
        <w:t xml:space="preserve">Partie C – Elora </w:t>
      </w:r>
    </w:p>
    <w:p w14:paraId="3CB7C177" w14:textId="77777777" w:rsidR="00721E5C" w:rsidRDefault="00721E5C"/>
    <w:p w14:paraId="54B0EBEC" w14:textId="77777777" w:rsidR="00721E5C" w:rsidRPr="00721E5C" w:rsidRDefault="00721E5C">
      <w:pPr>
        <w:rPr>
          <w:b/>
          <w:bCs/>
        </w:rPr>
      </w:pPr>
      <w:r w:rsidRPr="00721E5C">
        <w:rPr>
          <w:b/>
          <w:bCs/>
        </w:rPr>
        <w:t>Trajectoires d’émissions et transitions systémiques compatibles avec un réchauffement planétaire de 1,5 °C</w:t>
      </w:r>
    </w:p>
    <w:p w14:paraId="14E7DAB3" w14:textId="77777777" w:rsidR="00721E5C" w:rsidRPr="00721E5C" w:rsidRDefault="00721E5C">
      <w:pPr>
        <w:rPr>
          <w:sz w:val="20"/>
          <w:szCs w:val="20"/>
        </w:rPr>
      </w:pPr>
    </w:p>
    <w:p w14:paraId="12563ECC" w14:textId="77777777" w:rsidR="00721E5C" w:rsidRPr="00721E5C" w:rsidRDefault="00721E5C">
      <w:pPr>
        <w:rPr>
          <w:sz w:val="20"/>
          <w:szCs w:val="20"/>
        </w:rPr>
      </w:pPr>
      <w:r w:rsidRPr="00721E5C">
        <w:rPr>
          <w:sz w:val="20"/>
          <w:szCs w:val="20"/>
        </w:rPr>
        <w:t xml:space="preserve"> Il faut réduire méthane, carbone suie, aérosols </w:t>
      </w:r>
    </w:p>
    <w:p w14:paraId="3AC0FDB7" w14:textId="77777777" w:rsidR="00721E5C" w:rsidRPr="00721E5C" w:rsidRDefault="00721E5C">
      <w:pPr>
        <w:rPr>
          <w:sz w:val="20"/>
          <w:szCs w:val="20"/>
        </w:rPr>
      </w:pPr>
      <w:r w:rsidRPr="00721E5C">
        <w:rPr>
          <w:sz w:val="20"/>
          <w:szCs w:val="20"/>
        </w:rPr>
        <w:t xml:space="preserve">Réduire intensité énergétique, utilisation ressources, augmentation taux décarbonation </w:t>
      </w:r>
      <w:r w:rsidRPr="00721E5C">
        <w:rPr>
          <w:rFonts w:ascii="Segoe UI Symbol" w:hAnsi="Segoe UI Symbol" w:cs="Segoe UI Symbol"/>
          <w:sz w:val="20"/>
          <w:szCs w:val="20"/>
        </w:rPr>
        <w:t>➔</w:t>
      </w:r>
      <w:r w:rsidRPr="00721E5C">
        <w:rPr>
          <w:sz w:val="20"/>
          <w:szCs w:val="20"/>
        </w:rPr>
        <w:t xml:space="preserve"> En contradiction avec DD (</w:t>
      </w:r>
      <w:proofErr w:type="spellStart"/>
      <w:r w:rsidRPr="00721E5C">
        <w:rPr>
          <w:sz w:val="20"/>
          <w:szCs w:val="20"/>
        </w:rPr>
        <w:t>d</w:t>
      </w:r>
      <w:r w:rsidRPr="00721E5C">
        <w:rPr>
          <w:rFonts w:ascii="Aptos" w:hAnsi="Aptos" w:cs="Aptos"/>
          <w:sz w:val="20"/>
          <w:szCs w:val="20"/>
        </w:rPr>
        <w:t>é</w:t>
      </w:r>
      <w:r w:rsidRPr="00721E5C">
        <w:rPr>
          <w:sz w:val="20"/>
          <w:szCs w:val="20"/>
        </w:rPr>
        <w:t>v</w:t>
      </w:r>
      <w:proofErr w:type="spellEnd"/>
      <w:r w:rsidRPr="00721E5C">
        <w:rPr>
          <w:sz w:val="20"/>
          <w:szCs w:val="20"/>
        </w:rPr>
        <w:t xml:space="preserve"> durable) </w:t>
      </w:r>
    </w:p>
    <w:p w14:paraId="515FFA9E" w14:textId="77777777" w:rsidR="00721E5C" w:rsidRDefault="00721E5C"/>
    <w:p w14:paraId="7458AE44" w14:textId="77777777" w:rsidR="00721E5C" w:rsidRDefault="00721E5C">
      <w:r w:rsidRPr="00721E5C">
        <w:t>Fin de l</w:t>
      </w:r>
      <w:r w:rsidRPr="00721E5C">
        <w:rPr>
          <w:rFonts w:ascii="Aptos" w:hAnsi="Aptos" w:cs="Aptos"/>
        </w:rPr>
        <w:t>’</w:t>
      </w:r>
      <w:r w:rsidRPr="00721E5C">
        <w:t>ann</w:t>
      </w:r>
      <w:r w:rsidRPr="00721E5C">
        <w:rPr>
          <w:rFonts w:ascii="Aptos" w:hAnsi="Aptos" w:cs="Aptos"/>
        </w:rPr>
        <w:t>é</w:t>
      </w:r>
      <w:r w:rsidRPr="00721E5C">
        <w:t xml:space="preserve">e 2017, les </w:t>
      </w:r>
      <w:r w:rsidRPr="00721E5C">
        <w:rPr>
          <w:rFonts w:ascii="Aptos" w:hAnsi="Aptos" w:cs="Aptos"/>
        </w:rPr>
        <w:t>é</w:t>
      </w:r>
      <w:r w:rsidRPr="00721E5C">
        <w:t>missions de CO2 depuis l</w:t>
      </w:r>
      <w:r w:rsidRPr="00721E5C">
        <w:rPr>
          <w:rFonts w:ascii="Aptos" w:hAnsi="Aptos" w:cs="Aptos"/>
        </w:rPr>
        <w:t>’é</w:t>
      </w:r>
      <w:r w:rsidRPr="00721E5C">
        <w:t>poque pr</w:t>
      </w:r>
      <w:r w:rsidRPr="00721E5C">
        <w:rPr>
          <w:rFonts w:ascii="Aptos" w:hAnsi="Aptos" w:cs="Aptos"/>
        </w:rPr>
        <w:t>é</w:t>
      </w:r>
      <w:r w:rsidRPr="00721E5C">
        <w:t>industrielle avaient r</w:t>
      </w:r>
      <w:r w:rsidRPr="00721E5C">
        <w:rPr>
          <w:rFonts w:ascii="Aptos" w:hAnsi="Aptos" w:cs="Aptos"/>
        </w:rPr>
        <w:t>é</w:t>
      </w:r>
      <w:r w:rsidRPr="00721E5C">
        <w:t>duit le budget carbone total pour l</w:t>
      </w:r>
      <w:r w:rsidRPr="00721E5C">
        <w:rPr>
          <w:rFonts w:ascii="Aptos" w:hAnsi="Aptos" w:cs="Aptos"/>
        </w:rPr>
        <w:t>’</w:t>
      </w:r>
      <w:r w:rsidRPr="00721E5C">
        <w:t xml:space="preserve">objectif de 1,5 </w:t>
      </w:r>
      <w:r w:rsidRPr="00721E5C">
        <w:rPr>
          <w:rFonts w:ascii="Aptos" w:hAnsi="Aptos" w:cs="Aptos"/>
        </w:rPr>
        <w:t>°</w:t>
      </w:r>
      <w:r w:rsidRPr="00721E5C">
        <w:t>C d</w:t>
      </w:r>
      <w:r w:rsidRPr="00721E5C">
        <w:rPr>
          <w:rFonts w:ascii="Aptos" w:hAnsi="Aptos" w:cs="Aptos"/>
        </w:rPr>
        <w:t>’</w:t>
      </w:r>
      <w:r w:rsidRPr="00721E5C">
        <w:t xml:space="preserve">environ </w:t>
      </w:r>
      <w:r w:rsidRPr="00721E5C">
        <w:rPr>
          <w:highlight w:val="yellow"/>
        </w:rPr>
        <w:t>2 200</w:t>
      </w:r>
      <w:r w:rsidRPr="00721E5C">
        <w:t xml:space="preserve"> </w:t>
      </w:r>
      <w:r w:rsidRPr="00721E5C">
        <w:rPr>
          <w:rFonts w:ascii="Aptos" w:hAnsi="Aptos" w:cs="Aptos"/>
        </w:rPr>
        <w:t>±</w:t>
      </w:r>
      <w:r w:rsidRPr="00721E5C">
        <w:t xml:space="preserve"> 320 GtCO2</w:t>
      </w:r>
    </w:p>
    <w:p w14:paraId="66283CB1" w14:textId="77777777" w:rsidR="00721E5C" w:rsidRDefault="00721E5C">
      <w:r w:rsidRPr="00721E5C">
        <w:t>Le budget carbone restant qui en r</w:t>
      </w:r>
      <w:r w:rsidRPr="00721E5C">
        <w:rPr>
          <w:rFonts w:ascii="Aptos" w:hAnsi="Aptos" w:cs="Aptos"/>
        </w:rPr>
        <w:t>é</w:t>
      </w:r>
      <w:r w:rsidRPr="00721E5C">
        <w:t>sulte est encore grev</w:t>
      </w:r>
      <w:r w:rsidRPr="00721E5C">
        <w:rPr>
          <w:rFonts w:ascii="Aptos" w:hAnsi="Aptos" w:cs="Aptos"/>
        </w:rPr>
        <w:t>é</w:t>
      </w:r>
      <w:r w:rsidRPr="00721E5C">
        <w:t xml:space="preserve"> par les </w:t>
      </w:r>
      <w:r w:rsidRPr="00721E5C">
        <w:rPr>
          <w:rFonts w:ascii="Aptos" w:hAnsi="Aptos" w:cs="Aptos"/>
        </w:rPr>
        <w:t>é</w:t>
      </w:r>
      <w:r w:rsidRPr="00721E5C">
        <w:t xml:space="preserve">missions actuelles de </w:t>
      </w:r>
      <w:r w:rsidRPr="00721E5C">
        <w:rPr>
          <w:highlight w:val="yellow"/>
        </w:rPr>
        <w:t>42</w:t>
      </w:r>
      <w:r w:rsidRPr="00721E5C">
        <w:t xml:space="preserve"> </w:t>
      </w:r>
      <w:r w:rsidRPr="00721E5C">
        <w:rPr>
          <w:rFonts w:ascii="Aptos" w:hAnsi="Aptos" w:cs="Aptos"/>
        </w:rPr>
        <w:t>±</w:t>
      </w:r>
      <w:r w:rsidRPr="00721E5C">
        <w:t xml:space="preserve"> 3 GtCO2 par an </w:t>
      </w:r>
    </w:p>
    <w:p w14:paraId="7AA01CA1" w14:textId="03710BF6" w:rsidR="00721E5C" w:rsidRDefault="00721E5C">
      <w:r w:rsidRPr="00721E5C">
        <w:t>/!\ Choix mesure T</w:t>
      </w:r>
      <w:r w:rsidRPr="00721E5C">
        <w:rPr>
          <w:rFonts w:ascii="Aptos" w:hAnsi="Aptos" w:cs="Aptos"/>
        </w:rPr>
        <w:t>°</w:t>
      </w:r>
      <w:r w:rsidRPr="00721E5C">
        <w:t xml:space="preserve"> fait varier le BC (budget carbone) </w:t>
      </w:r>
    </w:p>
    <w:p w14:paraId="77F81443" w14:textId="77777777" w:rsidR="00721E5C" w:rsidRDefault="00721E5C" w:rsidP="00721E5C">
      <w:pPr>
        <w:pStyle w:val="Paragraphedeliste"/>
        <w:numPr>
          <w:ilvl w:val="0"/>
          <w:numId w:val="1"/>
        </w:numPr>
      </w:pPr>
      <w:r w:rsidRPr="00721E5C">
        <w:t xml:space="preserve"> Si T</w:t>
      </w:r>
      <w:r w:rsidRPr="00721E5C">
        <w:rPr>
          <w:rFonts w:ascii="Aptos" w:hAnsi="Aptos" w:cs="Aptos"/>
        </w:rPr>
        <w:t>°</w:t>
      </w:r>
      <w:r w:rsidRPr="00721E5C">
        <w:t xml:space="preserve"> moyenne de l</w:t>
      </w:r>
      <w:r w:rsidRPr="00721E5C">
        <w:rPr>
          <w:rFonts w:ascii="Aptos" w:hAnsi="Aptos" w:cs="Aptos"/>
        </w:rPr>
        <w:t>’</w:t>
      </w:r>
      <w:r w:rsidRPr="00721E5C">
        <w:t xml:space="preserve">air </w:t>
      </w:r>
      <w:r w:rsidRPr="00721E5C">
        <w:rPr>
          <w:rFonts w:ascii="Aptos" w:hAnsi="Aptos" w:cs="Aptos"/>
        </w:rPr>
        <w:t>à</w:t>
      </w:r>
      <w:r w:rsidRPr="00721E5C">
        <w:t xml:space="preserve"> la surface du globe, BC estimé à </w:t>
      </w:r>
      <w:r w:rsidRPr="00721E5C">
        <w:rPr>
          <w:highlight w:val="yellow"/>
        </w:rPr>
        <w:t>580</w:t>
      </w:r>
      <w:r w:rsidRPr="00721E5C">
        <w:t xml:space="preserve"> GtCO2 pour une probabilité de 50 % de parvenir à limiter le réchauffement planétaire à 1,5 °C et à 420 GtCO2 pour une probabilité de 66 % (degré de confiance moyen). </w:t>
      </w:r>
    </w:p>
    <w:p w14:paraId="1BFED840" w14:textId="77777777" w:rsidR="00721E5C" w:rsidRDefault="00721E5C" w:rsidP="00721E5C">
      <w:pPr>
        <w:pStyle w:val="Paragraphedeliste"/>
        <w:numPr>
          <w:ilvl w:val="0"/>
          <w:numId w:val="1"/>
        </w:numPr>
      </w:pPr>
      <w:r w:rsidRPr="00721E5C">
        <w:t xml:space="preserve">Si T° moyenne à la surface du globe, BC restant estimé à </w:t>
      </w:r>
      <w:r w:rsidRPr="00721E5C">
        <w:rPr>
          <w:highlight w:val="yellow"/>
        </w:rPr>
        <w:t>770</w:t>
      </w:r>
      <w:r w:rsidRPr="00721E5C">
        <w:t xml:space="preserve"> GtCO2 et 570 GtCO2 pour une probabilité de 50 % et de 66 %</w:t>
      </w:r>
    </w:p>
    <w:p w14:paraId="76651EC2" w14:textId="77777777" w:rsidR="00721E5C" w:rsidRDefault="00721E5C" w:rsidP="00721E5C"/>
    <w:p w14:paraId="4FA556AF" w14:textId="2B5EFEE3" w:rsidR="00721E5C" w:rsidRDefault="00721E5C" w:rsidP="00721E5C">
      <w:r w:rsidRPr="00721E5C">
        <w:t>Bcp D’incertitudes !</w:t>
      </w:r>
    </w:p>
    <w:p w14:paraId="4870A073" w14:textId="4EC99FBC" w:rsidR="00721E5C" w:rsidRDefault="00721E5C" w:rsidP="00721E5C">
      <w:pPr>
        <w:pStyle w:val="Paragraphedeliste"/>
        <w:numPr>
          <w:ilvl w:val="0"/>
          <w:numId w:val="1"/>
        </w:numPr>
      </w:pPr>
      <w:r w:rsidRPr="00721E5C">
        <w:t xml:space="preserve">La réponse du climat aux émissions de CO2 et d’autres gaz que le CO2 représente ± </w:t>
      </w:r>
      <w:r w:rsidRPr="00721E5C">
        <w:rPr>
          <w:highlight w:val="yellow"/>
        </w:rPr>
        <w:t>400</w:t>
      </w:r>
      <w:r w:rsidRPr="00721E5C">
        <w:t xml:space="preserve"> GtCO2 et celles qui concernent le niveau de réchauffement historique, ± </w:t>
      </w:r>
      <w:r w:rsidRPr="00721E5C">
        <w:rPr>
          <w:highlight w:val="yellow"/>
        </w:rPr>
        <w:t>250</w:t>
      </w:r>
      <w:r w:rsidRPr="00721E5C">
        <w:t xml:space="preserve"> GtCO2</w:t>
      </w:r>
    </w:p>
    <w:p w14:paraId="6B3FCAD6" w14:textId="77777777" w:rsidR="00721E5C" w:rsidRDefault="00721E5C" w:rsidP="00721E5C">
      <w:pPr>
        <w:pStyle w:val="Paragraphedeliste"/>
        <w:numPr>
          <w:ilvl w:val="0"/>
          <w:numId w:val="1"/>
        </w:numPr>
      </w:pPr>
      <w:r w:rsidRPr="00721E5C">
        <w:t xml:space="preserve">Dégagement supplémentaire de CO2 par dégel </w:t>
      </w:r>
      <w:r w:rsidRPr="00721E5C">
        <w:rPr>
          <w:u w:val="single"/>
        </w:rPr>
        <w:t>pergélisol</w:t>
      </w:r>
      <w:r w:rsidRPr="00721E5C">
        <w:t xml:space="preserve"> et méthane dans </w:t>
      </w:r>
      <w:r w:rsidRPr="00721E5C">
        <w:rPr>
          <w:u w:val="single"/>
        </w:rPr>
        <w:t>terres humides</w:t>
      </w:r>
      <w:r w:rsidRPr="00721E5C">
        <w:t xml:space="preserve"> : réduction possible des budgets de </w:t>
      </w:r>
      <w:r w:rsidRPr="00721E5C">
        <w:rPr>
          <w:highlight w:val="yellow"/>
        </w:rPr>
        <w:t>100</w:t>
      </w:r>
      <w:r w:rsidRPr="00721E5C">
        <w:t xml:space="preserve"> GtCO2 </w:t>
      </w:r>
    </w:p>
    <w:p w14:paraId="2C459425" w14:textId="6A7F67D1" w:rsidR="00721E5C" w:rsidRDefault="00721E5C" w:rsidP="00721E5C">
      <w:pPr>
        <w:pStyle w:val="Paragraphedeliste"/>
        <w:numPr>
          <w:ilvl w:val="0"/>
          <w:numId w:val="1"/>
        </w:numPr>
      </w:pPr>
      <w:r w:rsidRPr="00721E5C">
        <w:t>Le niveau futur d’atténuation des émissions d’autres gaz que le CO2 pourrait modifier le budget carbone de 250 GtCO2 dans un sens ou dans l’autre</w:t>
      </w:r>
    </w:p>
    <w:p w14:paraId="1436AEFE" w14:textId="77777777" w:rsidR="00721E5C" w:rsidRDefault="00721E5C" w:rsidP="00721E5C"/>
    <w:p w14:paraId="1A32F237" w14:textId="436F7D85" w:rsidR="00721E5C" w:rsidRDefault="00721E5C" w:rsidP="00721E5C">
      <w:r w:rsidRPr="00721E5C">
        <w:rPr>
          <w:noProof/>
        </w:rPr>
        <w:lastRenderedPageBreak/>
        <w:drawing>
          <wp:inline distT="0" distB="0" distL="0" distR="0" wp14:anchorId="272F2B03" wp14:editId="2C9468B6">
            <wp:extent cx="5760720" cy="3233420"/>
            <wp:effectExtent l="0" t="0" r="0" b="5080"/>
            <wp:docPr id="11966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29FF" w14:textId="418A381D" w:rsidR="00721E5C" w:rsidRDefault="00721E5C" w:rsidP="00721E5C">
      <w:r w:rsidRPr="00721E5C">
        <w:rPr>
          <w:noProof/>
        </w:rPr>
        <w:drawing>
          <wp:inline distT="0" distB="0" distL="0" distR="0" wp14:anchorId="6E97855A" wp14:editId="070E5D5B">
            <wp:extent cx="5760720" cy="3225800"/>
            <wp:effectExtent l="0" t="0" r="0" b="0"/>
            <wp:docPr id="1642498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8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67C1" w14:textId="77777777" w:rsidR="005F09B1" w:rsidRDefault="005F09B1" w:rsidP="00721E5C"/>
    <w:p w14:paraId="635E2856" w14:textId="092C96D6" w:rsidR="00721E5C" w:rsidRDefault="00721E5C" w:rsidP="00721E5C">
      <w:r w:rsidRPr="00721E5C">
        <w:rPr>
          <w:noProof/>
        </w:rPr>
        <w:lastRenderedPageBreak/>
        <w:drawing>
          <wp:inline distT="0" distB="0" distL="0" distR="0" wp14:anchorId="0EA34877" wp14:editId="03E49B4E">
            <wp:extent cx="5760720" cy="3224530"/>
            <wp:effectExtent l="0" t="0" r="0" b="0"/>
            <wp:docPr id="2066649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4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19F" w14:textId="6B5DF6FD" w:rsidR="00721E5C" w:rsidRDefault="00721E5C" w:rsidP="00721E5C">
      <w:r w:rsidRPr="00721E5C">
        <w:rPr>
          <w:noProof/>
        </w:rPr>
        <w:drawing>
          <wp:inline distT="0" distB="0" distL="0" distR="0" wp14:anchorId="0ED940B3" wp14:editId="0EA3241E">
            <wp:extent cx="5760720" cy="3205480"/>
            <wp:effectExtent l="0" t="0" r="0" b="0"/>
            <wp:docPr id="100302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BB04" w14:textId="77777777" w:rsidR="00B93C52" w:rsidRDefault="00B93C52" w:rsidP="00721E5C"/>
    <w:p w14:paraId="2936B66D" w14:textId="19C4931D" w:rsidR="00B93C52" w:rsidRDefault="00B93C52" w:rsidP="00721E5C">
      <w:r>
        <w:t xml:space="preserve">Equations de Kaya </w:t>
      </w:r>
    </w:p>
    <w:p w14:paraId="68DAD3AA" w14:textId="77777777" w:rsidR="005F09B1" w:rsidRDefault="005F09B1" w:rsidP="00721E5C"/>
    <w:p w14:paraId="497B6397" w14:textId="659BBB1C" w:rsidR="00587F5A" w:rsidRDefault="00587F5A" w:rsidP="00721E5C">
      <w:r>
        <w:t>Elora : Incertitudes sur l’évolution du budget carbone</w:t>
      </w:r>
    </w:p>
    <w:p w14:paraId="36C56630" w14:textId="702ABB8F" w:rsidR="00587F5A" w:rsidRDefault="00587F5A" w:rsidP="00721E5C">
      <w:r>
        <w:t>Nikita : Comparaison entre 1,5 et 2°</w:t>
      </w:r>
    </w:p>
    <w:p w14:paraId="1ACEB916" w14:textId="5FC104EA" w:rsidR="00587F5A" w:rsidRDefault="00587F5A" w:rsidP="00721E5C">
      <w:r>
        <w:t xml:space="preserve">Eloise : scénarios </w:t>
      </w:r>
    </w:p>
    <w:p w14:paraId="25F59905" w14:textId="6D3B9EC5" w:rsidR="005F09B1" w:rsidRDefault="00587F5A" w:rsidP="005F09B1">
      <w:r>
        <w:t>Lina : Equation de Kaya</w:t>
      </w:r>
      <w:r w:rsidR="005F09B1">
        <w:t>, lien avec les ODD</w:t>
      </w:r>
    </w:p>
    <w:p w14:paraId="2520F3F7" w14:textId="77777777" w:rsidR="005F09B1" w:rsidRDefault="005F09B1" w:rsidP="00721E5C"/>
    <w:sectPr w:rsidR="005F0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CBC"/>
    <w:multiLevelType w:val="hybridMultilevel"/>
    <w:tmpl w:val="58DEBDE0"/>
    <w:lvl w:ilvl="0" w:tplc="84BA5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60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5C"/>
    <w:rsid w:val="003501E5"/>
    <w:rsid w:val="00442532"/>
    <w:rsid w:val="00587F5A"/>
    <w:rsid w:val="005F09B1"/>
    <w:rsid w:val="00721E5C"/>
    <w:rsid w:val="00B80CFC"/>
    <w:rsid w:val="00B9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C90C2"/>
  <w15:chartTrackingRefBased/>
  <w15:docId w15:val="{76557A2C-E15F-4CD9-9265-8A586E74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1E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1E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1E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1E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1E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1E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1E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1E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1E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1E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1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Elora Merceron</dc:creator>
  <cp:keywords/>
  <dc:description/>
  <cp:lastModifiedBy>Elora Merceron</cp:lastModifiedBy>
  <cp:revision>2</cp:revision>
  <dcterms:created xsi:type="dcterms:W3CDTF">2026-03-15T20:07:00Z</dcterms:created>
  <dcterms:modified xsi:type="dcterms:W3CDTF">2026-03-16T14:59:00Z</dcterms:modified>
</cp:coreProperties>
</file>