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4ED0" w14:textId="30ED801D" w:rsidR="00721E5C" w:rsidRDefault="00721E5C">
      <w:r>
        <w:t xml:space="preserve">Partie C – Elora </w:t>
      </w:r>
    </w:p>
    <w:p w14:paraId="3CB7C177" w14:textId="77777777" w:rsidR="00721E5C" w:rsidRDefault="00721E5C"/>
    <w:p w14:paraId="54B0EBEC" w14:textId="77777777" w:rsidR="00721E5C" w:rsidRPr="00721E5C" w:rsidRDefault="00721E5C">
      <w:pPr>
        <w:rPr>
          <w:b/>
          <w:bCs/>
        </w:rPr>
      </w:pPr>
      <w:r w:rsidRPr="00721E5C">
        <w:rPr>
          <w:b/>
          <w:bCs/>
        </w:rPr>
        <w:t>Trajectoires d’émissions et transitions systémiques compatibles avec un réchauffement planétaire de 1,5 °C</w:t>
      </w:r>
    </w:p>
    <w:p w14:paraId="14E7DAB3" w14:textId="77777777" w:rsidR="00721E5C" w:rsidRPr="00282E98" w:rsidRDefault="00721E5C"/>
    <w:p w14:paraId="43E0EBC0" w14:textId="431041A8" w:rsidR="00282E98" w:rsidRDefault="00282E98">
      <w:r w:rsidRPr="00282E98">
        <w:t>Le seuil de +1,5 °C est désormais dépassé et celui de +2 °C est proche si aucune mesure forte n’est prise avant 2030</w:t>
      </w:r>
      <w:r w:rsidR="00DA18FC">
        <w:t xml:space="preserve">. </w:t>
      </w:r>
      <w:r w:rsidR="00DA18FC">
        <w:t>Pour limiter le réchauffement planétaire à moins de 2 °C,</w:t>
      </w:r>
      <w:r w:rsidR="00DA18FC">
        <w:t xml:space="preserve"> </w:t>
      </w:r>
      <w:r w:rsidR="00DA18FC">
        <w:t>les émissions de CO2 devraient diminuer d’environ 25 % d’ici à 2030 dans la plupart des trajectoires</w:t>
      </w:r>
      <w:r w:rsidR="00DA18FC">
        <w:t>.</w:t>
      </w:r>
    </w:p>
    <w:p w14:paraId="4110314D" w14:textId="77777777" w:rsidR="00DA18FC" w:rsidRDefault="00DA18FC"/>
    <w:p w14:paraId="7458AE44" w14:textId="77777777" w:rsidR="00721E5C" w:rsidRDefault="00721E5C">
      <w:r w:rsidRPr="00721E5C">
        <w:t>Fin de l</w:t>
      </w:r>
      <w:r w:rsidRPr="00721E5C">
        <w:rPr>
          <w:rFonts w:ascii="Aptos" w:hAnsi="Aptos" w:cs="Aptos"/>
        </w:rPr>
        <w:t>’</w:t>
      </w:r>
      <w:r w:rsidRPr="00721E5C">
        <w:t>ann</w:t>
      </w:r>
      <w:r w:rsidRPr="00721E5C">
        <w:rPr>
          <w:rFonts w:ascii="Aptos" w:hAnsi="Aptos" w:cs="Aptos"/>
        </w:rPr>
        <w:t>é</w:t>
      </w:r>
      <w:r w:rsidRPr="00721E5C">
        <w:t xml:space="preserve">e 2017, les </w:t>
      </w:r>
      <w:r w:rsidRPr="00721E5C">
        <w:rPr>
          <w:rFonts w:ascii="Aptos" w:hAnsi="Aptos" w:cs="Aptos"/>
        </w:rPr>
        <w:t>é</w:t>
      </w:r>
      <w:r w:rsidRPr="00721E5C">
        <w:t>missions de CO2 depuis l</w:t>
      </w:r>
      <w:r w:rsidRPr="00721E5C">
        <w:rPr>
          <w:rFonts w:ascii="Aptos" w:hAnsi="Aptos" w:cs="Aptos"/>
        </w:rPr>
        <w:t>’é</w:t>
      </w:r>
      <w:r w:rsidRPr="00721E5C">
        <w:t>poque pr</w:t>
      </w:r>
      <w:r w:rsidRPr="00721E5C">
        <w:rPr>
          <w:rFonts w:ascii="Aptos" w:hAnsi="Aptos" w:cs="Aptos"/>
        </w:rPr>
        <w:t>é</w:t>
      </w:r>
      <w:r w:rsidRPr="00721E5C">
        <w:t>industrielle avaient r</w:t>
      </w:r>
      <w:r w:rsidRPr="00721E5C">
        <w:rPr>
          <w:rFonts w:ascii="Aptos" w:hAnsi="Aptos" w:cs="Aptos"/>
        </w:rPr>
        <w:t>é</w:t>
      </w:r>
      <w:r w:rsidRPr="00721E5C">
        <w:t>duit le budget carbone total pour l</w:t>
      </w:r>
      <w:r w:rsidRPr="00721E5C">
        <w:rPr>
          <w:rFonts w:ascii="Aptos" w:hAnsi="Aptos" w:cs="Aptos"/>
        </w:rPr>
        <w:t>’</w:t>
      </w:r>
      <w:r w:rsidRPr="00721E5C">
        <w:t xml:space="preserve">objectif de 1,5 </w:t>
      </w:r>
      <w:r w:rsidRPr="00721E5C">
        <w:rPr>
          <w:rFonts w:ascii="Aptos" w:hAnsi="Aptos" w:cs="Aptos"/>
        </w:rPr>
        <w:t>°</w:t>
      </w:r>
      <w:r w:rsidRPr="00721E5C">
        <w:t>C d</w:t>
      </w:r>
      <w:r w:rsidRPr="00721E5C">
        <w:rPr>
          <w:rFonts w:ascii="Aptos" w:hAnsi="Aptos" w:cs="Aptos"/>
        </w:rPr>
        <w:t>’</w:t>
      </w:r>
      <w:r w:rsidRPr="00721E5C">
        <w:t xml:space="preserve">environ </w:t>
      </w:r>
      <w:r w:rsidRPr="00721E5C">
        <w:rPr>
          <w:highlight w:val="yellow"/>
        </w:rPr>
        <w:t>2 200</w:t>
      </w:r>
      <w:r w:rsidRPr="00721E5C">
        <w:t xml:space="preserve"> </w:t>
      </w:r>
      <w:r w:rsidRPr="00721E5C">
        <w:rPr>
          <w:rFonts w:ascii="Aptos" w:hAnsi="Aptos" w:cs="Aptos"/>
        </w:rPr>
        <w:t>±</w:t>
      </w:r>
      <w:r w:rsidRPr="00721E5C">
        <w:t xml:space="preserve"> 320 GtCO2</w:t>
      </w:r>
    </w:p>
    <w:p w14:paraId="66283CB1" w14:textId="67672AD8" w:rsidR="00721E5C" w:rsidRDefault="00721E5C">
      <w:r w:rsidRPr="00721E5C">
        <w:t>Le budget carbone restant qui en r</w:t>
      </w:r>
      <w:r w:rsidRPr="00721E5C">
        <w:rPr>
          <w:rFonts w:ascii="Aptos" w:hAnsi="Aptos" w:cs="Aptos"/>
        </w:rPr>
        <w:t>é</w:t>
      </w:r>
      <w:r w:rsidRPr="00721E5C">
        <w:t xml:space="preserve">sulte est encore </w:t>
      </w:r>
      <w:r w:rsidR="00DA18FC">
        <w:t>surchargé/accablé</w:t>
      </w:r>
      <w:r w:rsidRPr="00721E5C">
        <w:t xml:space="preserve"> par les </w:t>
      </w:r>
      <w:r w:rsidRPr="00721E5C">
        <w:rPr>
          <w:rFonts w:ascii="Aptos" w:hAnsi="Aptos" w:cs="Aptos"/>
        </w:rPr>
        <w:t>é</w:t>
      </w:r>
      <w:r w:rsidRPr="00721E5C">
        <w:t xml:space="preserve">missions actuelles de </w:t>
      </w:r>
      <w:r w:rsidRPr="00721E5C">
        <w:rPr>
          <w:highlight w:val="yellow"/>
        </w:rPr>
        <w:t>42</w:t>
      </w:r>
      <w:r w:rsidRPr="00721E5C">
        <w:t xml:space="preserve"> </w:t>
      </w:r>
      <w:r w:rsidRPr="00721E5C">
        <w:rPr>
          <w:rFonts w:ascii="Aptos" w:hAnsi="Aptos" w:cs="Aptos"/>
        </w:rPr>
        <w:t>±</w:t>
      </w:r>
      <w:r w:rsidRPr="00721E5C">
        <w:t xml:space="preserve"> 3 GtCO2 par an </w:t>
      </w:r>
    </w:p>
    <w:p w14:paraId="7AA01CA1" w14:textId="03710BF6" w:rsidR="00721E5C" w:rsidRDefault="00721E5C">
      <w:r w:rsidRPr="00721E5C">
        <w:t>/!\ Choix mesure T</w:t>
      </w:r>
      <w:r w:rsidRPr="00721E5C">
        <w:rPr>
          <w:rFonts w:ascii="Aptos" w:hAnsi="Aptos" w:cs="Aptos"/>
        </w:rPr>
        <w:t>°</w:t>
      </w:r>
      <w:r w:rsidRPr="00721E5C">
        <w:t xml:space="preserve"> fait varier le BC (budget carbone) </w:t>
      </w:r>
    </w:p>
    <w:p w14:paraId="77F81443" w14:textId="77777777" w:rsidR="00721E5C" w:rsidRPr="005D7569" w:rsidRDefault="00721E5C" w:rsidP="00721E5C">
      <w:pPr>
        <w:pStyle w:val="Paragraphedeliste"/>
        <w:numPr>
          <w:ilvl w:val="0"/>
          <w:numId w:val="1"/>
        </w:numPr>
        <w:rPr>
          <w:strike/>
        </w:rPr>
      </w:pPr>
      <w:r w:rsidRPr="00721E5C">
        <w:t xml:space="preserve"> Si T</w:t>
      </w:r>
      <w:r w:rsidRPr="00721E5C">
        <w:rPr>
          <w:rFonts w:ascii="Aptos" w:hAnsi="Aptos" w:cs="Aptos"/>
        </w:rPr>
        <w:t>°</w:t>
      </w:r>
      <w:r w:rsidRPr="00721E5C">
        <w:t xml:space="preserve"> moyenne de l</w:t>
      </w:r>
      <w:r w:rsidRPr="00721E5C">
        <w:rPr>
          <w:rFonts w:ascii="Aptos" w:hAnsi="Aptos" w:cs="Aptos"/>
        </w:rPr>
        <w:t>’</w:t>
      </w:r>
      <w:r w:rsidRPr="00721E5C">
        <w:t xml:space="preserve">air </w:t>
      </w:r>
      <w:r w:rsidRPr="00721E5C">
        <w:rPr>
          <w:rFonts w:ascii="Aptos" w:hAnsi="Aptos" w:cs="Aptos"/>
        </w:rPr>
        <w:t>à</w:t>
      </w:r>
      <w:r w:rsidRPr="00721E5C">
        <w:t xml:space="preserve"> la surface du globe, BC estimé à </w:t>
      </w:r>
      <w:r w:rsidRPr="00721E5C">
        <w:rPr>
          <w:highlight w:val="yellow"/>
        </w:rPr>
        <w:t>580</w:t>
      </w:r>
      <w:r w:rsidRPr="00721E5C">
        <w:t xml:space="preserve"> GtCO2 pour une probabilité de 50 % de parvenir à limiter le réchauffement planétaire à 1,5 °C </w:t>
      </w:r>
      <w:r w:rsidRPr="005D7569">
        <w:rPr>
          <w:strike/>
        </w:rPr>
        <w:t xml:space="preserve">et à 420 GtCO2 pour une probabilité de 66 % (degré de confiance moyen). </w:t>
      </w:r>
    </w:p>
    <w:p w14:paraId="1BFED840" w14:textId="20BDCB3F" w:rsidR="00721E5C" w:rsidRPr="005D7569" w:rsidRDefault="00721E5C" w:rsidP="00721E5C">
      <w:pPr>
        <w:pStyle w:val="Paragraphedeliste"/>
        <w:numPr>
          <w:ilvl w:val="0"/>
          <w:numId w:val="1"/>
        </w:numPr>
        <w:rPr>
          <w:strike/>
        </w:rPr>
      </w:pPr>
      <w:r w:rsidRPr="00721E5C">
        <w:t xml:space="preserve">Si T° moyenne </w:t>
      </w:r>
      <w:r w:rsidR="00DA18FC">
        <w:t xml:space="preserve">de </w:t>
      </w:r>
      <w:r w:rsidRPr="00721E5C">
        <w:t xml:space="preserve">la surface du globe, BC restant estimé à </w:t>
      </w:r>
      <w:r w:rsidRPr="00721E5C">
        <w:rPr>
          <w:highlight w:val="yellow"/>
        </w:rPr>
        <w:t>770</w:t>
      </w:r>
      <w:r w:rsidRPr="00721E5C">
        <w:t xml:space="preserve"> GtCO2 </w:t>
      </w:r>
      <w:r w:rsidRPr="005D7569">
        <w:rPr>
          <w:strike/>
        </w:rPr>
        <w:t>et 570 GtCO2 pour une probabilité de 50 % et de 66 %</w:t>
      </w:r>
    </w:p>
    <w:p w14:paraId="76651EC2" w14:textId="77777777" w:rsidR="00721E5C" w:rsidRDefault="00721E5C" w:rsidP="00721E5C"/>
    <w:p w14:paraId="4FA556AF" w14:textId="2B5EFEE3" w:rsidR="00721E5C" w:rsidRDefault="00721E5C" w:rsidP="00721E5C">
      <w:r w:rsidRPr="00721E5C">
        <w:t>Bcp D’incertitudes !</w:t>
      </w:r>
    </w:p>
    <w:p w14:paraId="4870A073" w14:textId="0D27CF2A" w:rsidR="00721E5C" w:rsidRDefault="00721E5C" w:rsidP="00721E5C">
      <w:pPr>
        <w:pStyle w:val="Paragraphedeliste"/>
        <w:numPr>
          <w:ilvl w:val="0"/>
          <w:numId w:val="1"/>
        </w:numPr>
      </w:pPr>
      <w:r w:rsidRPr="00DA18FC">
        <w:rPr>
          <w:highlight w:val="green"/>
        </w:rPr>
        <w:t>La réponse du climat</w:t>
      </w:r>
      <w:r w:rsidRPr="00721E5C">
        <w:t xml:space="preserve"> aux émissions de CO2 et d’autres gaz représente ± </w:t>
      </w:r>
      <w:r w:rsidRPr="00721E5C">
        <w:rPr>
          <w:highlight w:val="yellow"/>
        </w:rPr>
        <w:t>400</w:t>
      </w:r>
      <w:r w:rsidRPr="00721E5C">
        <w:t xml:space="preserve"> GtCO2 et celles qui concernent le niveau de réchauffement historique, ± </w:t>
      </w:r>
      <w:r w:rsidRPr="00721E5C">
        <w:rPr>
          <w:highlight w:val="yellow"/>
        </w:rPr>
        <w:t>250</w:t>
      </w:r>
      <w:r w:rsidRPr="00721E5C">
        <w:t xml:space="preserve"> GtCO2</w:t>
      </w:r>
    </w:p>
    <w:p w14:paraId="3CDD311A" w14:textId="77777777" w:rsidR="00DA18FC" w:rsidRDefault="00721E5C" w:rsidP="00721E5C">
      <w:pPr>
        <w:pStyle w:val="Paragraphedeliste"/>
        <w:numPr>
          <w:ilvl w:val="0"/>
          <w:numId w:val="1"/>
        </w:numPr>
      </w:pPr>
      <w:r w:rsidRPr="00721E5C">
        <w:t xml:space="preserve">Dégagement supplémentaire de CO2 par dégel </w:t>
      </w:r>
      <w:r w:rsidRPr="00721E5C">
        <w:rPr>
          <w:u w:val="single"/>
        </w:rPr>
        <w:t>pergélisol</w:t>
      </w:r>
      <w:r w:rsidRPr="00721E5C">
        <w:t xml:space="preserve"> </w:t>
      </w:r>
      <w:r w:rsidR="00DA18FC">
        <w:t>(permafrost contient une grande quantité de CO2 issu de matière végétale ou animale décomposée)</w:t>
      </w:r>
    </w:p>
    <w:p w14:paraId="6B3FCAD6" w14:textId="630E764C" w:rsidR="00721E5C" w:rsidRDefault="00721E5C" w:rsidP="00DA18FC">
      <w:pPr>
        <w:pStyle w:val="Paragraphedeliste"/>
      </w:pPr>
      <w:r w:rsidRPr="00721E5C">
        <w:t xml:space="preserve">et méthane dans </w:t>
      </w:r>
      <w:r w:rsidRPr="00721E5C">
        <w:rPr>
          <w:u w:val="single"/>
        </w:rPr>
        <w:t>terres humides</w:t>
      </w:r>
      <w:r w:rsidRPr="00721E5C">
        <w:t xml:space="preserve"> : réduction possible des budgets de </w:t>
      </w:r>
      <w:r w:rsidRPr="00721E5C">
        <w:rPr>
          <w:highlight w:val="yellow"/>
        </w:rPr>
        <w:t>100</w:t>
      </w:r>
      <w:r w:rsidRPr="00721E5C">
        <w:t xml:space="preserve"> GtCO2 </w:t>
      </w:r>
    </w:p>
    <w:p w14:paraId="13FD8B92" w14:textId="468662EC" w:rsidR="00DA18FC" w:rsidRDefault="00DA18FC" w:rsidP="00DA18FC">
      <w:pPr>
        <w:pStyle w:val="Paragraphedeliste"/>
      </w:pPr>
      <w:r>
        <w:t>D’ici 2100, 90% permafrost pourrait disparaitre (estimation : contiendrait 1700 milliards de tonne de CO2</w:t>
      </w:r>
      <w:r w:rsidR="00B63686">
        <w:t xml:space="preserve">, 2x plus que dans </w:t>
      </w:r>
      <w:proofErr w:type="spellStart"/>
      <w:r w:rsidR="00B63686">
        <w:t>atm</w:t>
      </w:r>
      <w:proofErr w:type="spellEnd"/>
      <w:r>
        <w:t>)</w:t>
      </w:r>
    </w:p>
    <w:p w14:paraId="58713D47" w14:textId="5524C8FE" w:rsidR="00B63686" w:rsidRDefault="00B63686" w:rsidP="00DA18FC">
      <w:pPr>
        <w:pStyle w:val="Paragraphedeliste"/>
      </w:pPr>
      <w:r>
        <w:t xml:space="preserve">Inondations répétées (dérèglement) augmentent l’humidité des zones humides, donc encore plus de décomposition qui produit du méthane </w:t>
      </w:r>
    </w:p>
    <w:p w14:paraId="0D352940" w14:textId="59F36D32" w:rsidR="00DD55F5" w:rsidRDefault="00DD55F5" w:rsidP="00DA18FC">
      <w:pPr>
        <w:pStyle w:val="Paragraphedeliste"/>
      </w:pPr>
      <w:r>
        <w:t xml:space="preserve">Afrique responsable de 16% des émissions de méthane, inondations 2020. </w:t>
      </w:r>
    </w:p>
    <w:p w14:paraId="20A68048" w14:textId="3DA58135" w:rsidR="00B63686" w:rsidRDefault="00B63686" w:rsidP="00DA18FC">
      <w:pPr>
        <w:pStyle w:val="Paragraphedeliste"/>
      </w:pPr>
      <w:r>
        <w:t>Boucle sans fin</w:t>
      </w:r>
    </w:p>
    <w:p w14:paraId="2C459425" w14:textId="6A7F67D1" w:rsidR="00721E5C" w:rsidRDefault="00721E5C" w:rsidP="00721E5C">
      <w:pPr>
        <w:pStyle w:val="Paragraphedeliste"/>
        <w:numPr>
          <w:ilvl w:val="0"/>
          <w:numId w:val="1"/>
        </w:numPr>
      </w:pPr>
      <w:r w:rsidRPr="00721E5C">
        <w:lastRenderedPageBreak/>
        <w:t xml:space="preserve">Le niveau futur </w:t>
      </w:r>
      <w:r w:rsidRPr="00B63686">
        <w:rPr>
          <w:highlight w:val="green"/>
        </w:rPr>
        <w:t>d’atténuation des émissions d’autres gaz que le</w:t>
      </w:r>
      <w:r w:rsidRPr="00721E5C">
        <w:t xml:space="preserve"> CO2 pourrait modifier le budget carbone de 250 GtCO2 dans un sens ou dans l’autre</w:t>
      </w:r>
    </w:p>
    <w:p w14:paraId="5EBB8935" w14:textId="0982413B" w:rsidR="00B63686" w:rsidRDefault="00B63686" w:rsidP="00B63686">
      <w:r>
        <w:t xml:space="preserve">Dans tous les cas, c’est mort pour 1,5°. Quelles sont les différences avec 2° ? </w:t>
      </w:r>
    </w:p>
    <w:p w14:paraId="1436AEFE" w14:textId="77777777" w:rsidR="00721E5C" w:rsidRDefault="00721E5C" w:rsidP="00721E5C"/>
    <w:p w14:paraId="1A32F237" w14:textId="436F7D85" w:rsidR="00721E5C" w:rsidRDefault="00721E5C" w:rsidP="00721E5C">
      <w:r w:rsidRPr="00721E5C">
        <w:rPr>
          <w:noProof/>
        </w:rPr>
        <w:drawing>
          <wp:inline distT="0" distB="0" distL="0" distR="0" wp14:anchorId="272F2B03" wp14:editId="2C9468B6">
            <wp:extent cx="5760720" cy="3233420"/>
            <wp:effectExtent l="0" t="0" r="0" b="5080"/>
            <wp:docPr id="11966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29FF" w14:textId="418A381D" w:rsidR="00721E5C" w:rsidRDefault="00721E5C" w:rsidP="00721E5C">
      <w:r w:rsidRPr="00721E5C">
        <w:rPr>
          <w:noProof/>
        </w:rPr>
        <w:drawing>
          <wp:inline distT="0" distB="0" distL="0" distR="0" wp14:anchorId="6E97855A" wp14:editId="070E5D5B">
            <wp:extent cx="5760720" cy="3225800"/>
            <wp:effectExtent l="0" t="0" r="0" b="0"/>
            <wp:docPr id="16424984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984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67C1" w14:textId="77777777" w:rsidR="005F09B1" w:rsidRDefault="005F09B1" w:rsidP="00721E5C"/>
    <w:p w14:paraId="635E2856" w14:textId="092C96D6" w:rsidR="00721E5C" w:rsidRDefault="00721E5C" w:rsidP="00721E5C">
      <w:r w:rsidRPr="00721E5C">
        <w:rPr>
          <w:noProof/>
        </w:rPr>
        <w:lastRenderedPageBreak/>
        <w:drawing>
          <wp:inline distT="0" distB="0" distL="0" distR="0" wp14:anchorId="0EA34877" wp14:editId="03E49B4E">
            <wp:extent cx="5760720" cy="3224530"/>
            <wp:effectExtent l="0" t="0" r="0" b="0"/>
            <wp:docPr id="20666499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49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C419F" w14:textId="6B5DF6FD" w:rsidR="00721E5C" w:rsidRDefault="00721E5C" w:rsidP="00721E5C">
      <w:r w:rsidRPr="00721E5C">
        <w:rPr>
          <w:noProof/>
        </w:rPr>
        <w:drawing>
          <wp:inline distT="0" distB="0" distL="0" distR="0" wp14:anchorId="0ED940B3" wp14:editId="0EA3241E">
            <wp:extent cx="5760720" cy="3205480"/>
            <wp:effectExtent l="0" t="0" r="0" b="0"/>
            <wp:docPr id="1003022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2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5BB04" w14:textId="77777777" w:rsidR="00B93C52" w:rsidRDefault="00B93C52" w:rsidP="00721E5C"/>
    <w:p w14:paraId="497B6397" w14:textId="659BBB1C" w:rsidR="00587F5A" w:rsidRDefault="00587F5A" w:rsidP="00721E5C">
      <w:r>
        <w:t>Elora : Incertitudes sur l’évolution du budget carbone</w:t>
      </w:r>
    </w:p>
    <w:p w14:paraId="36C56630" w14:textId="702ABB8F" w:rsidR="00587F5A" w:rsidRDefault="00587F5A" w:rsidP="00721E5C">
      <w:r>
        <w:t>Nikita : Comparaison entre 1,5 et 2°</w:t>
      </w:r>
    </w:p>
    <w:p w14:paraId="1ACEB916" w14:textId="5FC104EA" w:rsidR="00587F5A" w:rsidRDefault="00587F5A" w:rsidP="00721E5C">
      <w:r>
        <w:t xml:space="preserve">Eloise : scénarios </w:t>
      </w:r>
    </w:p>
    <w:p w14:paraId="25F59905" w14:textId="6D3B9EC5" w:rsidR="005F09B1" w:rsidRDefault="00587F5A" w:rsidP="005F09B1">
      <w:r>
        <w:t>Lina : Equation de Kaya</w:t>
      </w:r>
      <w:r w:rsidR="005F09B1">
        <w:t>, lien avec les ODD</w:t>
      </w:r>
    </w:p>
    <w:p w14:paraId="2520F3F7" w14:textId="77777777" w:rsidR="005F09B1" w:rsidRDefault="005F09B1" w:rsidP="00721E5C"/>
    <w:sectPr w:rsidR="005F09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CBC"/>
    <w:multiLevelType w:val="hybridMultilevel"/>
    <w:tmpl w:val="58DEBDE0"/>
    <w:lvl w:ilvl="0" w:tplc="84BA50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60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5C"/>
    <w:rsid w:val="00282E98"/>
    <w:rsid w:val="003501E5"/>
    <w:rsid w:val="00442532"/>
    <w:rsid w:val="00587F5A"/>
    <w:rsid w:val="005D7569"/>
    <w:rsid w:val="005F09B1"/>
    <w:rsid w:val="00721E5C"/>
    <w:rsid w:val="00B63686"/>
    <w:rsid w:val="00B80CFC"/>
    <w:rsid w:val="00B93C52"/>
    <w:rsid w:val="00DA18FC"/>
    <w:rsid w:val="00DD55F5"/>
    <w:rsid w:val="00EA4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C90C2"/>
  <w15:chartTrackingRefBased/>
  <w15:docId w15:val="{76557A2C-E15F-4CD9-9265-8A586E749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1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21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2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2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2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2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2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2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2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1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21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2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21E5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21E5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21E5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21E5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21E5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21E5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21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21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21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21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2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21E5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21E5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21E5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2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21E5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21E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346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Elora Merceron</dc:creator>
  <cp:keywords/>
  <dc:description/>
  <cp:lastModifiedBy>Elora Merceron</cp:lastModifiedBy>
  <cp:revision>4</cp:revision>
  <dcterms:created xsi:type="dcterms:W3CDTF">2026-03-15T20:07:00Z</dcterms:created>
  <dcterms:modified xsi:type="dcterms:W3CDTF">2026-03-18T16:39:00Z</dcterms:modified>
</cp:coreProperties>
</file>