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 та інтегрований AI-асистент для супроводу навчального процесу.</w:t>
      </w:r>
    </w:p>
    <w:p>
      <w:r>
        <w:rPr>
          <w:b w:val="0"/>
          <w:i w:val="0"/>
        </w:rPr>
        <w:t>Наукова новизна полягає у поєднанні monorepo-архітектури як навчального інструменту зі спринтовою методологією та AI-менторством,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AI-асистент,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 and an integrated AI assistant to support the learning process.</w:t>
      </w:r>
    </w:p>
    <w:p>
      <w:r>
        <w:rPr>
          <w:b w:val="0"/>
          <w:i w:val="0"/>
        </w:rPr>
        <w:t>Keywords: educational platform, monorepo, full-stack development, React, React Native, Express, TypeScript, Turborepo, sprint methodology, AI assistant,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 завдань з підтримкою AI-асистента.</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Інтегрувати AI-асистент для супроводу навчального процесу.</w:t>
      </w:r>
    </w:p>
    <w:p>
      <w:pPr>
        <w:ind w:firstLine="709"/>
      </w:pPr>
      <w:r>
        <w:t>7.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 з інтегрованим AI-асистентом.</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поєднує monorepo-архітектуру як навчальний інструмент зі спринтовою методологією поступового ускладнення завдань та AI-менторством.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та інтегрований AI-асистент.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 та AI-менторства.</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безкоштовність.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Обмеження: завдання виконуються у браузерному середовищі, що не відповідає реальним умовам розробки. Відсутній досвід роботи з повноцінним проєктом, системою збірки та залежностями.</w:t>
      </w:r>
    </w:p>
    <w:p>
      <w:r>
        <w:rPr>
          <w:b w:val="0"/>
          <w:i w:val="0"/>
        </w:rPr>
        <w:t>Udemy, Coursera — платформи з відеокурсами. Надають теоретичну базу та демонстрацію процесу розробки. Обмеження: пасивне навчання (перегляд відео), відсутність інтерактивності, проєкти курсу часто застарівають, немає адаптації під рівень студента.</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(freeCodeCamp, The Odin Project, Codecademy, Exercism)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pPr>
        <w:ind w:firstLine="709"/>
      </w:pPr>
      <w:r>
        <w:t>– AI-асистент, який виступає в ролі ментора та допомагає з питаннями.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звернутися до AI-асистента. Асистент має контекст проєкту: знає структуру monorepo, технологічний стек, зміст тікетів поточного спринту та архітектурні рішення. Студент запитує: «Як реалізувати захищений маршрут у React?» — асистент пояснює концепцію, дає підказки щодо підходу, але не надає готовий код. Це імітує роботу з ментором у реальній компанії.</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2.1.</w:t>
      </w:r>
    </w:p>
    <w:p>
      <w:pPr>
        <w:ind w:firstLine="0"/>
        <w:jc w:val="center"/>
      </w:pPr>
      <w:r>
        <w:drawing>
          <wp:inline xmlns:a="http://schemas.openxmlformats.org/drawingml/2006/main" xmlns:pic="http://schemas.openxmlformats.org/drawingml/2006/picture">
            <wp:extent cx="5040000" cy="2950714"/>
            <wp:docPr id="1" name="Picture 1"/>
            <wp:cNvGraphicFramePr>
              <a:graphicFrameLocks noChangeAspect="1"/>
            </wp:cNvGraphicFramePr>
            <a:graphic>
              <a:graphicData uri="http://schemas.openxmlformats.org/drawingml/2006/picture">
                <pic:pic>
                  <pic:nvPicPr>
                    <pic:cNvPr id="0" name="monorepo-structure.png"/>
                    <pic:cNvPicPr/>
                  </pic:nvPicPr>
                  <pic:blipFill>
                    <a:blip r:embed="rId9"/>
                    <a:stretch>
                      <a:fillRect/>
                    </a:stretch>
                  </pic:blipFill>
                  <pic:spPr>
                    <a:xfrm>
                      <a:off x="0" y="0"/>
                      <a:ext cx="5040000" cy="2950714"/>
                    </a:xfrm>
                    <a:prstGeom prst="rect"/>
                  </pic:spPr>
                </pic:pic>
              </a:graphicData>
            </a:graphic>
          </wp:inline>
        </w:drawing>
      </w:r>
    </w:p>
    <w:p>
      <w:pPr>
        <w:spacing w:before="120"/>
        <w:ind w:firstLine="0"/>
        <w:jc w:val="center"/>
      </w:pPr>
      <w:r>
        <w:rPr>
          <w:i/>
          <w:sz w:val="24"/>
        </w:rPr>
        <w:t>Рис. 2.1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2.2.</w:t>
      </w:r>
    </w:p>
    <w:p>
      <w:pPr>
        <w:ind w:firstLine="0"/>
        <w:jc w:val="center"/>
      </w:pPr>
      <w:r>
        <w:drawing>
          <wp:inline xmlns:a="http://schemas.openxmlformats.org/drawingml/2006/main" xmlns:pic="http://schemas.openxmlformats.org/drawingml/2006/picture">
            <wp:extent cx="5040000" cy="8885821"/>
            <wp:docPr id="2" name="Picture 2"/>
            <wp:cNvGraphicFramePr>
              <a:graphicFrameLocks noChangeAspect="1"/>
            </wp:cNvGraphicFramePr>
            <a:graphic>
              <a:graphicData uri="http://schemas.openxmlformats.org/drawingml/2006/picture">
                <pic:pic>
                  <pic:nvPicPr>
                    <pic:cNvPr id="0" name="er-model.png"/>
                    <pic:cNvPicPr/>
                  </pic:nvPicPr>
                  <pic:blipFill>
                    <a:blip r:embed="rId10"/>
                    <a:stretch>
                      <a:fillRect/>
                    </a:stretch>
                  </pic:blipFill>
                  <pic:spPr>
                    <a:xfrm>
                      <a:off x="0" y="0"/>
                      <a:ext cx="5040000" cy="8885821"/>
                    </a:xfrm>
                    <a:prstGeom prst="rect"/>
                  </pic:spPr>
                </pic:pic>
              </a:graphicData>
            </a:graphic>
          </wp:inline>
        </w:drawing>
      </w:r>
    </w:p>
    <w:p>
      <w:pPr>
        <w:spacing w:before="120"/>
        <w:ind w:firstLine="0"/>
        <w:jc w:val="center"/>
      </w:pPr>
      <w:r>
        <w:rPr>
          <w:i/>
          <w:sz w:val="24"/>
        </w:rPr>
        <w:t>Рис. 2.2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2.3.</w:t>
      </w:r>
    </w:p>
    <w:p>
      <w:pPr>
        <w:ind w:firstLine="0"/>
        <w:jc w:val="center"/>
      </w:pPr>
      <w:r>
        <w:drawing>
          <wp:inline xmlns:a="http://schemas.openxmlformats.org/drawingml/2006/main" xmlns:pic="http://schemas.openxmlformats.org/drawingml/2006/picture">
            <wp:extent cx="5040000" cy="2661429"/>
            <wp:docPr id="3" name="Picture 3"/>
            <wp:cNvGraphicFramePr>
              <a:graphicFrameLocks noChangeAspect="1"/>
            </wp:cNvGraphicFramePr>
            <a:graphic>
              <a:graphicData uri="http://schemas.openxmlformats.org/drawingml/2006/picture">
                <pic:pic>
                  <pic:nvPicPr>
                    <pic:cNvPr id="0" name="component-tree.png"/>
                    <pic:cNvPicPr/>
                  </pic:nvPicPr>
                  <pic:blipFill>
                    <a:blip r:embed="rId11"/>
                    <a:stretch>
                      <a:fillRect/>
                    </a:stretch>
                  </pic:blipFill>
                  <pic:spPr>
                    <a:xfrm>
                      <a:off x="0" y="0"/>
                      <a:ext cx="5040000" cy="2661429"/>
                    </a:xfrm>
                    <a:prstGeom prst="rect"/>
                  </pic:spPr>
                </pic:pic>
              </a:graphicData>
            </a:graphic>
          </wp:inline>
        </w:drawing>
      </w:r>
    </w:p>
    <w:p>
      <w:pPr>
        <w:spacing w:before="120"/>
        <w:ind w:firstLine="0"/>
        <w:jc w:val="center"/>
      </w:pPr>
      <w:r>
        <w:rPr>
          <w:i/>
          <w:sz w:val="24"/>
        </w:rPr>
        <w:t>Рис. 2.3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2.4.</w:t>
      </w:r>
    </w:p>
    <w:p>
      <w:pPr>
        <w:ind w:firstLine="0"/>
        <w:jc w:val="center"/>
      </w:pPr>
      <w:r>
        <w:drawing>
          <wp:inline xmlns:a="http://schemas.openxmlformats.org/drawingml/2006/main" xmlns:pic="http://schemas.openxmlformats.org/drawingml/2006/picture">
            <wp:extent cx="5040000" cy="6107143"/>
            <wp:docPr id="4" name="Picture 4"/>
            <wp:cNvGraphicFramePr>
              <a:graphicFrameLocks noChangeAspect="1"/>
            </wp:cNvGraphicFramePr>
            <a:graphic>
              <a:graphicData uri="http://schemas.openxmlformats.org/drawingml/2006/picture">
                <pic:pic>
                  <pic:nvPicPr>
                    <pic:cNvPr id="0" name="navigation-flow.png"/>
                    <pic:cNvPicPr/>
                  </pic:nvPicPr>
                  <pic:blipFill>
                    <a:blip r:embed="rId12"/>
                    <a:stretch>
                      <a:fillRect/>
                    </a:stretch>
                  </pic:blipFill>
                  <pic:spPr>
                    <a:xfrm>
                      <a:off x="0" y="0"/>
                      <a:ext cx="5040000" cy="6107143"/>
                    </a:xfrm>
                    <a:prstGeom prst="rect"/>
                  </pic:spPr>
                </pic:pic>
              </a:graphicData>
            </a:graphic>
          </wp:inline>
        </w:drawing>
      </w:r>
    </w:p>
    <w:p>
      <w:pPr>
        <w:spacing w:before="120"/>
        <w:ind w:firstLine="0"/>
        <w:jc w:val="center"/>
      </w:pPr>
      <w:r>
        <w:rPr>
          <w:i/>
          <w:sz w:val="24"/>
        </w:rPr>
        <w:t>Рис. 2.4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pPr>
        <w:pStyle w:val="Heading2"/>
      </w:pPr>
      <w:r>
        <w:t>2.10. Проєктування AI-асистента навчального процесу</w:t>
      </w:r>
    </w:p>
    <w:p>
      <w:r>
        <w:rPr>
          <w:b w:val="0"/>
          <w:i w:val="0"/>
        </w:rPr>
        <w:t>AI-асистент — інтегрований компонент платформи, що виступає в ролі ментора для студента. Асистент побудований на основі великої мовної моделі (LLM) та має доступ до контексту проєкту.</w:t>
      </w:r>
    </w:p>
    <w:p>
      <w:r>
        <w:rPr>
          <w:b w:val="0"/>
          <w:i w:val="0"/>
        </w:rPr>
        <w:t>Архітектура AI-асистента включає:</w:t>
      </w:r>
    </w:p>
    <w:p>
      <w:pPr>
        <w:ind w:firstLine="709"/>
      </w:pPr>
      <w:r>
        <w:t>– Контекстне вікно — містить інформацію про структуру monorepo, технологічний стек, поточний спринт та зміст тікетів;</w:t>
      </w:r>
    </w:p>
    <w:p>
      <w:pPr>
        <w:ind w:firstLine="709"/>
      </w:pPr>
      <w:r>
        <w:t>– Системний промпт — визначає роль асистента (ментор, не виконавець), обмеження (не давати готовий код) та стиль відповідей;</w:t>
      </w:r>
    </w:p>
    <w:p>
      <w:pPr>
        <w:ind w:firstLine="709"/>
      </w:pPr>
      <w:r>
        <w:t>– База знань — документація проєкту, архітектурні рішення, типові помилки та їх вирішення.</w:t>
      </w:r>
    </w:p>
    <w:p>
      <w:r>
        <w:rPr>
          <w:b w:val="0"/>
          <w:i w:val="0"/>
        </w:rPr>
        <w:t>Сценарії взаємодії з AI-асистентом:</w:t>
      </w:r>
    </w:p>
    <w:p>
      <w:pPr>
        <w:ind w:firstLine="709"/>
      </w:pPr>
      <w:r>
        <w:t>– Пояснення концепцій — студент запитує «Що таке JWT?» і отримує пояснення в контексті проєкту;</w:t>
      </w:r>
    </w:p>
    <w:p>
      <w:pPr>
        <w:ind w:firstLine="709"/>
      </w:pPr>
      <w:r>
        <w:t>– Підказки щодо реалізації — студент запитує «Як реалізувати захищений маршрут?» і отримує напрямок без готового коду;</w:t>
      </w:r>
    </w:p>
    <w:p>
      <w:pPr>
        <w:ind w:firstLine="709"/>
      </w:pPr>
      <w:r>
        <w:t>– Допомога з помилками — студент описує помилку і отримує пояснення причини та підказку щодо вирішення;</w:t>
      </w:r>
    </w:p>
    <w:p>
      <w:pPr>
        <w:ind w:firstLine="709"/>
      </w:pPr>
      <w:r>
        <w:t>– Навігація по проєкту — студент запитує «Де знаходиться конфігурація API?» і отримує пояснення структури.</w:t>
      </w:r>
    </w:p>
    <w:p>
      <w:r>
        <w:rPr>
          <w:b w:val="0"/>
          <w:i w:val="0"/>
        </w:rPr>
        <w:t>Ключовий принцип AI-асистента — він направляє, а не виконує. Асистент пояснює підходи, дає підказки, задає навідні питання, але не генерує готовий код для копіювання. Це забезпечує активне навчання та розвиток самостійності студента.</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Спроєктовано AI-асистент навчального процесу на основі LLM.</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3.1.</w:t>
      </w:r>
    </w:p>
    <w:p>
      <w:pPr>
        <w:ind w:firstLine="0"/>
        <w:jc w:val="center"/>
      </w:pPr>
      <w:r>
        <w:drawing>
          <wp:inline xmlns:a="http://schemas.openxmlformats.org/drawingml/2006/main" xmlns:pic="http://schemas.openxmlformats.org/drawingml/2006/picture">
            <wp:extent cx="5040000" cy="16471304"/>
            <wp:docPr id="5" name="Picture 5"/>
            <wp:cNvGraphicFramePr>
              <a:graphicFrameLocks noChangeAspect="1"/>
            </wp:cNvGraphicFramePr>
            <a:graphic>
              <a:graphicData uri="http://schemas.openxmlformats.org/drawingml/2006/picture">
                <pic:pic>
                  <pic:nvPicPr>
                    <pic:cNvPr id="0" name="data-flow.png"/>
                    <pic:cNvPicPr/>
                  </pic:nvPicPr>
                  <pic:blipFill>
                    <a:blip r:embed="rId13"/>
                    <a:stretch>
                      <a:fillRect/>
                    </a:stretch>
                  </pic:blipFill>
                  <pic:spPr>
                    <a:xfrm>
                      <a:off x="0" y="0"/>
                      <a:ext cx="5040000" cy="16471304"/>
                    </a:xfrm>
                    <a:prstGeom prst="rect"/>
                  </pic:spPr>
                </pic:pic>
              </a:graphicData>
            </a:graphic>
          </wp:inline>
        </w:drawing>
      </w:r>
    </w:p>
    <w:p>
      <w:pPr>
        <w:spacing w:before="120"/>
        <w:ind w:firstLine="0"/>
        <w:jc w:val="center"/>
      </w:pPr>
      <w:r>
        <w:rPr>
          <w:i/>
          <w:sz w:val="24"/>
        </w:rPr>
        <w:t>Рис. 3.1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реалізовано як інтеграцію з великою мовною моделлю (LLM), яка отримує контекст навчальної платформи через системний промпт. Контекст включає:</w:t>
      </w:r>
    </w:p>
    <w:p>
      <w:pPr>
        <w:ind w:firstLine="709"/>
      </w:pPr>
      <w:r>
        <w:t>– структуру monorepo та призначення кожного пакету;</w:t>
      </w:r>
    </w:p>
    <w:p>
      <w:pPr>
        <w:ind w:firstLine="709"/>
      </w:pPr>
      <w:r>
        <w:t>– технологічний стек та версії бібліотек;</w:t>
      </w:r>
    </w:p>
    <w:p>
      <w:pPr>
        <w:ind w:firstLine="709"/>
      </w:pPr>
      <w:r>
        <w:t>– зміст тікетів поточного спринту;</w:t>
      </w:r>
    </w:p>
    <w:p>
      <w:pPr>
        <w:ind w:firstLine="709"/>
      </w:pPr>
      <w:r>
        <w:t>– архітектурні рішення та патерни, використані у проєкті;</w:t>
      </w:r>
    </w:p>
    <w:p>
      <w:pPr>
        <w:ind w:firstLine="709"/>
      </w:pPr>
      <w:r>
        <w:t>– типові помилки студентів та способи їх вирішення.</w:t>
      </w:r>
    </w:p>
    <w:p>
      <w:r>
        <w:rPr>
          <w:b w:val="0"/>
          <w:i w:val="0"/>
        </w:rPr>
        <w:t>Системний промпт визначає поведінку асистента: він виступає в ролі досвідченого ментора, який пояснює концепції, дає підказки та направляє студента, але не генерує готовий код для копіювання. Асистент адаптує рівень пояснень залежно від спринту студента — для Sprint 1 пояснення більш детальні, для Sprint 4 — більш лаконічні.</w:t>
      </w:r>
    </w:p>
    <w:p>
      <w:r>
        <w:rPr>
          <w:b w:val="0"/>
          <w:i w:val="0"/>
        </w:rPr>
        <w:t>Технічно AI-асистент може бути реалізований через різні LLM-провайдери (OpenAI API, Anthropic Claude, локальні моделі через Ollama). Платформа надає підготовлений контекст у форматі markdown-файлів, які можуть бути завантажені у будь-який LLM-інтерфейс (ChatGPT, Claude, IDE-інтеграції типу Cursor або GitHub Copilot).</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3.8. Висновки за розділом</w:t>
      </w:r>
    </w:p>
    <w:p>
      <w:r>
        <w:rPr>
          <w:b w:val="0"/>
          <w:i w:val="0"/>
        </w:rPr>
        <w:t>У третьому розділі виконано реалізацію та тестування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Реалізовано AI-асистент на основі LLM з контекстом проєкту.</w:t>
      </w:r>
    </w:p>
    <w:p>
      <w:pPr>
        <w:ind w:firstLine="709"/>
      </w:pPr>
      <w:r>
        <w:t>6. Проведено функціональне, інтеграційне тестування та пілотне тестування навчального процесу.</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(freeCodeCamp, The Odin Project, Codecademy, Exercism)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