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r>
        <w:br w:type="page"/>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те, що вона є безкоштовною.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втрачають свою актуальність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в розумній IDE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використовувати вбудованого AI-асистента в розумній IDE. Асистент має доступ до контексту проєкту: структури monorepo, технологічного стеку, змісту тікетів поточного спринту та прийнятих архітектурних рішень. Наприклад, якщо студент запитає: «Як реалізувати захищений маршрут у React?», асистент пояснить відповідні концепції, запропонує можливі підходи до реалізації та зверне увагу на важливі аспекти, але не надаватиме готового коду. Такий формат роботи відображає сучасну практику використання AI-інструментів розробниками під час створення програмного забезпечення.</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