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1.png" ContentType="image/png"/>
  <Override PartName="/word/media/rId43.png" ContentType="image/png"/>
  <Override PartName="/word/media/rId26.png" ContentType="image/png"/>
  <Override PartName="/word/media/rId30.png" ContentType="image/png"/>
  <Override PartName="/word/media/rId33.png" ContentType="image/png"/>
  <Override PartName="/word/media/rId3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</w:t>
      </w:r>
    </w:p>
    <w:p>
      <w:pPr>
        <w:pStyle w:val="Author"/>
      </w:pPr>
      <w:r>
        <w:t xml:space="preserve">Горбовский</w:t>
      </w:r>
      <w:r>
        <w:t xml:space="preserve"> </w:t>
      </w:r>
      <w:r>
        <w:t xml:space="preserve">А.А.</w:t>
      </w:r>
    </w:p>
    <w:p>
      <w:pPr>
        <w:pStyle w:val="Date"/>
      </w:pPr>
      <w:r>
        <w:t xml:space="preserve">31</w:t>
      </w:r>
      <w:r>
        <w:t xml:space="preserve"> </w:t>
      </w:r>
      <w:r>
        <w:t xml:space="preserve">11</w:t>
      </w:r>
      <w:r>
        <w:t xml:space="preserve"> </w:t>
      </w:r>
      <w:r>
        <w:t xml:space="preserve">2020</w:t>
      </w:r>
    </w:p>
    <w:p>
      <w:pPr>
        <w:pStyle w:val="Heading1"/>
      </w:pPr>
      <w:bookmarkStart w:id="20" w:name="раздел-i."/>
      <w:r>
        <w:t xml:space="preserve">Раздел I.</w:t>
      </w:r>
      <w:bookmarkEnd w:id="20"/>
    </w:p>
    <w:p>
      <w:pPr>
        <w:pStyle w:val="FirstParagraph"/>
      </w:pPr>
      <w:r>
        <w:t xml:space="preserve">В этом разделе необходимо собрать данные по социально-экономическим показателям в регионах РФ и изучить их взаимосвязи.</w:t>
      </w:r>
    </w:p>
    <w:p>
      <w:pPr>
        <w:pStyle w:val="BodyText"/>
      </w:pPr>
      <w:r>
        <w:rPr>
          <w:b/>
        </w:rPr>
        <w:t xml:space="preserve">Необходимо построить:</w:t>
      </w:r>
    </w:p>
    <w:p>
      <w:pPr>
        <w:numPr>
          <w:numId w:val="1001"/>
          <w:ilvl w:val="0"/>
        </w:numPr>
      </w:pPr>
      <w:r>
        <w:t xml:space="preserve">Гистограммы распределения с наложенными теоретическими кривыми плотности нормального закона, разместить графики на одном полотне.</w:t>
      </w:r>
    </w:p>
    <w:p>
      <w:pPr>
        <w:numPr>
          <w:numId w:val="1001"/>
          <w:ilvl w:val="0"/>
        </w:numPr>
      </w:pPr>
      <w:r>
        <w:t xml:space="preserve">Тест Андерсона-Дарлинга на нормальность: таблица со статистикой теста, критическим значением и выводом по каждой переменной.</w:t>
      </w:r>
    </w:p>
    <w:p>
      <w:pPr>
        <w:numPr>
          <w:numId w:val="1001"/>
          <w:ilvl w:val="0"/>
        </w:numPr>
      </w:pPr>
      <w:r>
        <w:t xml:space="preserve">Точечные графики взаимного разброса (?pairs), сделать маркеры полупрозрачными.</w:t>
      </w:r>
    </w:p>
    <w:p>
      <w:pPr>
        <w:numPr>
          <w:numId w:val="1001"/>
          <w:ilvl w:val="0"/>
        </w:numPr>
      </w:pPr>
      <w:r>
        <w:t xml:space="preserve">Взаимосвязь показателей: графическое представление корреляционной матрицы с помощью функции corrplot(). Незначимые коэффициенты корреляции скрыть, остальные показать числами.</w:t>
      </w:r>
    </w:p>
    <w:p>
      <w:pPr>
        <w:pStyle w:val="Heading3"/>
      </w:pPr>
      <w:bookmarkStart w:id="21" w:name="обозначения-количественных-показателей"/>
      <w:r>
        <w:t xml:space="preserve">Обозначения количественных показателей:</w:t>
      </w:r>
      <w:bookmarkEnd w:id="21"/>
    </w:p>
    <w:p>
      <w:pPr>
        <w:numPr>
          <w:numId w:val="1002"/>
          <w:ilvl w:val="0"/>
        </w:numPr>
      </w:pPr>
      <w:r>
        <w:rPr>
          <w:i/>
        </w:rPr>
        <w:t xml:space="preserve">“</w:t>
      </w:r>
      <w:r>
        <w:rPr>
          <w:i/>
        </w:rPr>
        <w:t xml:space="preserve">Y.activity.2016.ps</w:t>
      </w:r>
      <w:r>
        <w:rPr>
          <w:i/>
        </w:rPr>
        <w:t xml:space="preserve">”</w:t>
      </w:r>
      <w:r>
        <w:t xml:space="preserve"> </w:t>
      </w:r>
      <w:r>
        <w:t xml:space="preserve">– Объем отгруженных товаров собственного производства, выполненных работ и услуг собственными силами по видам экономической деятельности: обрабатывающие производства</w:t>
      </w:r>
    </w:p>
    <w:p>
      <w:pPr>
        <w:numPr>
          <w:numId w:val="1002"/>
          <w:ilvl w:val="0"/>
        </w:numPr>
      </w:pPr>
      <w:r>
        <w:rPr>
          <w:i/>
        </w:rPr>
        <w:t xml:space="preserve">“</w:t>
      </w:r>
      <w:r>
        <w:rPr>
          <w:i/>
        </w:rPr>
        <w:t xml:space="preserve">INDEX.p.2016</w:t>
      </w:r>
      <w:r>
        <w:rPr>
          <w:i/>
        </w:rPr>
        <w:t xml:space="preserve">”</w:t>
      </w:r>
      <w:r>
        <w:t xml:space="preserve"> </w:t>
      </w:r>
      <w:r>
        <w:t xml:space="preserve">– Индексы цен производителей промышленных товаров по видам экономической деятельности: обрабатывающие производства</w:t>
      </w:r>
      <w:r>
        <w:t xml:space="preserve"> </w:t>
      </w:r>
      <w:r>
        <w:t xml:space="preserve">numb.employees.2016 – Изменение среднегодовой численности занятых</w:t>
      </w:r>
    </w:p>
    <w:p>
      <w:pPr>
        <w:numPr>
          <w:numId w:val="1002"/>
          <w:ilvl w:val="0"/>
        </w:numPr>
      </w:pPr>
      <w:r>
        <w:rPr>
          <w:i/>
        </w:rPr>
        <w:t xml:space="preserve">“</w:t>
      </w:r>
      <w:r>
        <w:rPr>
          <w:i/>
        </w:rPr>
        <w:t xml:space="preserve">numb.employees.2016</w:t>
      </w:r>
      <w:r>
        <w:rPr>
          <w:i/>
        </w:rPr>
        <w:t xml:space="preserve">”</w:t>
      </w:r>
      <w:r>
        <w:t xml:space="preserve"> </w:t>
      </w:r>
      <w:r>
        <w:t xml:space="preserve">– Изменение среднегодовой численности занятых</w:t>
      </w:r>
    </w:p>
    <w:p>
      <w:pPr>
        <w:numPr>
          <w:numId w:val="1002"/>
          <w:ilvl w:val="0"/>
        </w:numPr>
      </w:pPr>
      <w:r>
        <w:rPr>
          <w:i/>
        </w:rPr>
        <w:t xml:space="preserve">“</w:t>
      </w:r>
      <w:r>
        <w:rPr>
          <w:i/>
        </w:rPr>
        <w:t xml:space="preserve">INDEX.VRP.2015</w:t>
      </w:r>
      <w:r>
        <w:rPr>
          <w:i/>
        </w:rPr>
        <w:t xml:space="preserve">”</w:t>
      </w:r>
      <w:r>
        <w:t xml:space="preserve"> </w:t>
      </w:r>
      <w:r>
        <w:t xml:space="preserve">– Индекс физического объема ВРП</w:t>
      </w:r>
    </w:p>
    <w:p>
      <w:pPr>
        <w:numPr>
          <w:numId w:val="1002"/>
          <w:ilvl w:val="0"/>
        </w:numPr>
      </w:pPr>
      <w:r>
        <w:rPr>
          <w:i/>
        </w:rPr>
        <w:t xml:space="preserve">“</w:t>
      </w:r>
      <w:r>
        <w:rPr>
          <w:i/>
        </w:rPr>
        <w:t xml:space="preserve">Sum.activity.2015</w:t>
      </w:r>
      <w:r>
        <w:rPr>
          <w:i/>
        </w:rPr>
        <w:t xml:space="preserve">”</w:t>
      </w:r>
      <w:r>
        <w:t xml:space="preserve"> </w:t>
      </w:r>
      <w:r>
        <w:t xml:space="preserve">– Сумма убытка организаций по отдельным видам экономической деятельности: обрабатывающие производства</w:t>
      </w:r>
    </w:p>
    <w:p>
      <w:pPr>
        <w:pStyle w:val="Heading1"/>
      </w:pPr>
      <w:bookmarkStart w:id="22" w:name="импорт-данных"/>
      <w:r>
        <w:t xml:space="preserve">1. Импорт данных</w:t>
      </w:r>
      <w:bookmarkEnd w:id="22"/>
    </w:p>
    <w:p>
      <w:pPr>
        <w:pStyle w:val="SourceCode"/>
      </w:pPr>
      <w:r>
        <w:rPr>
          <w:rStyle w:val="VerbatimChar"/>
        </w:rPr>
        <w:t xml:space="preserve">## Warning in `[.data.frame`(DF, as.numeric(row.names(DF)) &lt; 1000, -1): в</w:t>
      </w:r>
      <w:r>
        <w:br/>
      </w:r>
      <w:r>
        <w:rPr>
          <w:rStyle w:val="VerbatimChar"/>
        </w:rPr>
        <w:t xml:space="preserve">## результате преобразования созданы NA</w:t>
      </w:r>
    </w:p>
    <w:p>
      <w:pPr>
        <w:pStyle w:val="FirstParagraph"/>
      </w:pPr>
      <w:r>
        <w:t xml:space="preserve">Файл с данными содержит 96 строк и 7 столбцов</w:t>
      </w:r>
    </w:p>
    <w:p>
      <w:pPr>
        <w:pStyle w:val="Heading2"/>
      </w:pPr>
      <w:bookmarkStart w:id="23" w:name="описательные-статистики"/>
      <w:r>
        <w:t xml:space="preserve">2. Описательные статистики</w:t>
      </w:r>
      <w:bookmarkEnd w:id="23"/>
    </w:p>
    <w:tbl>
      <w:tblPr>
        <w:tblStyle w:val="Table"/>
        <w:tblW w:type="pct" w:w="5000.0"/>
        <w:tblLook w:firstRow="1"/>
      </w:tblPr>
      <w:tblGrid>
        <w:gridCol w:w="1743"/>
        <w:gridCol w:w="1380"/>
        <w:gridCol w:w="944"/>
        <w:gridCol w:w="1453"/>
        <w:gridCol w:w="1089"/>
        <w:gridCol w:w="1307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Y.activity.2016.ps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INDEX.p.2016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numb.employees.2016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INDEX.VRP.2015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Sum.activity.2015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Среднее</w:t>
            </w:r>
          </w:p>
        </w:tc>
        <w:tc>
          <w:p>
            <w:pPr>
              <w:pStyle w:val="Compact"/>
              <w:jc w:val="right"/>
            </w:pPr>
            <w:r>
              <w:t xml:space="preserve">668790.9</w:t>
            </w:r>
          </w:p>
        </w:tc>
        <w:tc>
          <w:p>
            <w:pPr>
              <w:pStyle w:val="Compact"/>
              <w:jc w:val="right"/>
            </w:pPr>
            <w:r>
              <w:t xml:space="preserve">103.4</w:t>
            </w:r>
          </w:p>
        </w:tc>
        <w:tc>
          <w:p>
            <w:pPr>
              <w:pStyle w:val="Compact"/>
              <w:jc w:val="right"/>
            </w:pPr>
            <w:r>
              <w:t xml:space="preserve">1421.1</w:t>
            </w:r>
          </w:p>
        </w:tc>
        <w:tc>
          <w:p>
            <w:pPr>
              <w:pStyle w:val="Compact"/>
              <w:jc w:val="right"/>
            </w:pPr>
            <w:r>
              <w:t xml:space="preserve">100.3</w:t>
            </w:r>
          </w:p>
        </w:tc>
        <w:tc>
          <w:p>
            <w:pPr>
              <w:pStyle w:val="Compact"/>
              <w:jc w:val="right"/>
            </w:pPr>
            <w:r>
              <w:t xml:space="preserve">11987399.6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Стандартное отклонение</w:t>
            </w:r>
          </w:p>
        </w:tc>
        <w:tc>
          <w:p>
            <w:pPr>
              <w:pStyle w:val="Compact"/>
              <w:jc w:val="right"/>
            </w:pPr>
            <w:r>
              <w:t xml:space="preserve">1224605.3</w:t>
            </w:r>
          </w:p>
        </w:tc>
        <w:tc>
          <w:p>
            <w:pPr>
              <w:pStyle w:val="Compact"/>
              <w:jc w:val="right"/>
            </w:pPr>
            <w:r>
              <w:t xml:space="preserve">8.1</w:t>
            </w:r>
          </w:p>
        </w:tc>
        <w:tc>
          <w:p>
            <w:pPr>
              <w:pStyle w:val="Compact"/>
              <w:jc w:val="right"/>
            </w:pPr>
            <w:r>
              <w:t xml:space="preserve">2242.8</w:t>
            </w:r>
          </w:p>
        </w:tc>
        <w:tc>
          <w:p>
            <w:pPr>
              <w:pStyle w:val="Compact"/>
              <w:jc w:val="right"/>
            </w:pPr>
            <w:r>
              <w:t xml:space="preserve">2.8</w:t>
            </w:r>
          </w:p>
        </w:tc>
        <w:tc>
          <w:p>
            <w:pPr>
              <w:pStyle w:val="Compact"/>
              <w:jc w:val="right"/>
            </w:pPr>
            <w:r>
              <w:t xml:space="preserve">40781506.5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Коэффициент вариации, %</w:t>
            </w:r>
          </w:p>
        </w:tc>
        <w:tc>
          <w:p>
            <w:pPr>
              <w:pStyle w:val="Compact"/>
              <w:jc w:val="right"/>
            </w:pPr>
            <w:r>
              <w:t xml:space="preserve">183.1</w:t>
            </w:r>
          </w:p>
        </w:tc>
        <w:tc>
          <w:p>
            <w:pPr>
              <w:pStyle w:val="Compact"/>
              <w:jc w:val="right"/>
            </w:pPr>
            <w:r>
              <w:t xml:space="preserve">7.8</w:t>
            </w:r>
          </w:p>
        </w:tc>
        <w:tc>
          <w:p>
            <w:pPr>
              <w:pStyle w:val="Compact"/>
              <w:jc w:val="right"/>
            </w:pPr>
            <w:r>
              <w:t xml:space="preserve">157.8</w:t>
            </w:r>
          </w:p>
        </w:tc>
        <w:tc>
          <w:p>
            <w:pPr>
              <w:pStyle w:val="Compact"/>
              <w:jc w:val="right"/>
            </w:pPr>
            <w:r>
              <w:t xml:space="preserve">2.8</w:t>
            </w:r>
          </w:p>
        </w:tc>
        <w:tc>
          <w:p>
            <w:pPr>
              <w:pStyle w:val="Compact"/>
              <w:jc w:val="right"/>
            </w:pPr>
            <w:r>
              <w:t xml:space="preserve">340.2</w:t>
            </w:r>
          </w:p>
        </w:tc>
      </w:tr>
    </w:tbl>
    <w:p>
      <w:pPr>
        <w:pStyle w:val="BodyText"/>
      </w:pPr>
      <w:r>
        <w:rPr>
          <w:b/>
        </w:rPr>
        <w:t xml:space="preserve">Вывод:</w:t>
      </w:r>
      <w:r>
        <w:t xml:space="preserve"> </w:t>
      </w:r>
      <w:r>
        <w:t xml:space="preserve">показатели не однородны, кроме</w:t>
      </w:r>
      <w:r>
        <w:t xml:space="preserve"> </w:t>
      </w:r>
      <w:r>
        <w:rPr>
          <w:i/>
        </w:rPr>
        <w:t xml:space="preserve">INDEX.p.2016</w:t>
      </w:r>
      <w:r>
        <w:t xml:space="preserve">,</w:t>
      </w:r>
      <w:r>
        <w:t xml:space="preserve"> </w:t>
      </w:r>
      <w:r>
        <w:rPr>
          <w:i/>
        </w:rPr>
        <w:t xml:space="preserve">INDEX.VRP.2015</w:t>
      </w:r>
    </w:p>
    <w:p>
      <w:pPr>
        <w:pStyle w:val="Heading2"/>
      </w:pPr>
      <w:bookmarkStart w:id="24" w:name="анализ-распределения-данных"/>
      <w:r>
        <w:t xml:space="preserve">3. Анализ распределения данных</w:t>
      </w:r>
      <w:bookmarkEnd w:id="24"/>
    </w:p>
    <w:p>
      <w:pPr>
        <w:pStyle w:val="Heading1"/>
      </w:pPr>
      <w:bookmarkStart w:id="25" w:name="гистограммы"/>
      <w:r>
        <w:t xml:space="preserve">Гистограммы</w:t>
      </w:r>
      <w:bookmarkEnd w:id="25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лаба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Вывод:</w:t>
      </w:r>
      <w:r>
        <w:t xml:space="preserve"> </w:t>
      </w:r>
      <w:r>
        <w:t xml:space="preserve">Судя по гистограммам, распределения всех показателей ассиметричны по сравнению с нормальным законом.(Особенно это заметно у</w:t>
      </w:r>
      <w:r>
        <w:t xml:space="preserve"> </w:t>
      </w:r>
      <w:r>
        <w:rPr>
          <w:i/>
        </w:rPr>
        <w:t xml:space="preserve">“</w:t>
      </w:r>
      <w:r>
        <w:rPr>
          <w:i/>
        </w:rPr>
        <w:t xml:space="preserve">Y.activity.2016.ps</w:t>
      </w:r>
      <w:r>
        <w:rPr>
          <w:i/>
        </w:rPr>
        <w:t xml:space="preserve">”</w:t>
      </w:r>
      <w:r>
        <w:t xml:space="preserve">,</w:t>
      </w:r>
      <w:r>
        <w:t xml:space="preserve"> </w:t>
      </w:r>
      <w:r>
        <w:rPr>
          <w:i/>
        </w:rPr>
        <w:t xml:space="preserve">“</w:t>
      </w:r>
      <w:r>
        <w:rPr>
          <w:i/>
        </w:rPr>
        <w:t xml:space="preserve">numb.employees.2016</w:t>
      </w:r>
      <w:r>
        <w:rPr>
          <w:i/>
        </w:rPr>
        <w:t xml:space="preserve">”</w:t>
      </w:r>
      <w:r>
        <w:t xml:space="preserve">,</w:t>
      </w:r>
      <w:r>
        <w:rPr>
          <w:i/>
        </w:rPr>
        <w:t xml:space="preserve">“</w:t>
      </w:r>
      <w:r>
        <w:rPr>
          <w:i/>
        </w:rPr>
        <w:t xml:space="preserve">Sum.activity.2015</w:t>
      </w:r>
      <w:r>
        <w:rPr>
          <w:i/>
        </w:rPr>
        <w:t xml:space="preserve">”</w:t>
      </w:r>
      <w:r>
        <w:t xml:space="preserve">) Кроме того, показатели имеют более островершинные распределения по сравнению с нормальным законом.</w:t>
      </w:r>
    </w:p>
    <w:p>
      <w:pPr>
        <w:pStyle w:val="Heading2"/>
      </w:pPr>
      <w:bookmarkStart w:id="27" w:name="тесты-на-нормальность-и-крит.значения"/>
      <w:r>
        <w:t xml:space="preserve">Тесты на нормальность и крит.значения</w:t>
      </w:r>
      <w:bookmarkEnd w:id="2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krit.zn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Y.activity.2016.ps.A</w:t>
            </w:r>
          </w:p>
        </w:tc>
        <w:tc>
          <w:p>
            <w:pPr>
              <w:pStyle w:val="Compact"/>
              <w:jc w:val="right"/>
            </w:pPr>
            <w:r>
              <w:t xml:space="preserve">12.3645</w:t>
            </w:r>
          </w:p>
        </w:tc>
        <w:tc>
          <w:p>
            <w:pPr>
              <w:pStyle w:val="Compact"/>
              <w:jc w:val="right"/>
            </w:pPr>
            <w:r>
              <w:t xml:space="preserve">0e+00</w:t>
            </w:r>
          </w:p>
        </w:tc>
        <w:tc>
          <w:p>
            <w:pPr>
              <w:pStyle w:val="Compact"/>
              <w:jc w:val="right"/>
            </w:pPr>
            <w:r>
              <w:t xml:space="preserve">4.7923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INDEX.p.2016.A</w:t>
            </w:r>
          </w:p>
        </w:tc>
        <w:tc>
          <w:p>
            <w:pPr>
              <w:pStyle w:val="Compact"/>
              <w:jc w:val="right"/>
            </w:pPr>
            <w:r>
              <w:t xml:space="preserve">1.4620</w:t>
            </w:r>
          </w:p>
        </w:tc>
        <w:tc>
          <w:p>
            <w:pPr>
              <w:pStyle w:val="Compact"/>
              <w:jc w:val="right"/>
            </w:pPr>
            <w:r>
              <w:t xml:space="preserve">8e-04</w:t>
            </w:r>
          </w:p>
        </w:tc>
        <w:tc>
          <w:p>
            <w:pPr>
              <w:pStyle w:val="Compact"/>
              <w:jc w:val="right"/>
            </w:pPr>
            <w:r>
              <w:t xml:space="preserve">112.4443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numb.employees.2016.A</w:t>
            </w:r>
          </w:p>
        </w:tc>
        <w:tc>
          <w:p>
            <w:pPr>
              <w:pStyle w:val="Compact"/>
              <w:jc w:val="right"/>
            </w:pPr>
            <w:r>
              <w:t xml:space="preserve">12.5423</w:t>
            </w:r>
          </w:p>
        </w:tc>
        <w:tc>
          <w:p>
            <w:pPr>
              <w:pStyle w:val="Compact"/>
              <w:jc w:val="right"/>
            </w:pPr>
            <w:r>
              <w:t xml:space="preserve">0e+00</w:t>
            </w:r>
          </w:p>
        </w:tc>
        <w:tc>
          <w:p>
            <w:pPr>
              <w:pStyle w:val="Compact"/>
              <w:jc w:val="right"/>
            </w:pPr>
            <w:r>
              <w:t xml:space="preserve">5.5603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INDEX.VRP.2015.A</w:t>
            </w:r>
          </w:p>
        </w:tc>
        <w:tc>
          <w:p>
            <w:pPr>
              <w:pStyle w:val="Compact"/>
              <w:jc w:val="right"/>
            </w:pPr>
            <w:r>
              <w:t xml:space="preserve">1.2374</w:t>
            </w:r>
          </w:p>
        </w:tc>
        <w:tc>
          <w:p>
            <w:pPr>
              <w:pStyle w:val="Compact"/>
              <w:jc w:val="right"/>
            </w:pPr>
            <w:r>
              <w:t xml:space="preserve">3e-03</w:t>
            </w:r>
          </w:p>
        </w:tc>
        <w:tc>
          <w:p>
            <w:pPr>
              <w:pStyle w:val="Compact"/>
              <w:jc w:val="right"/>
            </w:pPr>
            <w:r>
              <w:t xml:space="preserve">312.6294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Sum.activity.2015.A</w:t>
            </w:r>
          </w:p>
        </w:tc>
        <w:tc>
          <w:p>
            <w:pPr>
              <w:pStyle w:val="Compact"/>
              <w:jc w:val="right"/>
            </w:pPr>
            <w:r>
              <w:t xml:space="preserve">20.5894</w:t>
            </w:r>
          </w:p>
        </w:tc>
        <w:tc>
          <w:p>
            <w:pPr>
              <w:pStyle w:val="Compact"/>
              <w:jc w:val="right"/>
            </w:pPr>
            <w:r>
              <w:t xml:space="preserve">0e+00</w:t>
            </w:r>
          </w:p>
        </w:tc>
        <w:tc>
          <w:p>
            <w:pPr>
              <w:pStyle w:val="Compact"/>
              <w:jc w:val="right"/>
            </w:pPr>
            <w:r>
              <w:t xml:space="preserve">2.5793</w:t>
            </w:r>
          </w:p>
        </w:tc>
      </w:tr>
    </w:tbl>
    <w:p>
      <w:pPr>
        <w:pStyle w:val="BodyText"/>
      </w:pPr>
      <w:r>
        <w:rPr>
          <w:b/>
        </w:rPr>
        <w:t xml:space="preserve">Вывод:</w:t>
      </w:r>
      <w:r>
        <w:t xml:space="preserve">: По итогам теста Андерсона-Дарлинга на нормальность распредления переменных (при уровне значимости 0,05) отвергается нулевая гипотеза о нормальности распределения для трех показателей</w:t>
      </w:r>
      <w:r>
        <w:t xml:space="preserve"> </w:t>
      </w:r>
      <w:r>
        <w:rPr>
          <w:i/>
        </w:rPr>
        <w:t xml:space="preserve">“</w:t>
      </w:r>
      <w:r>
        <w:rPr>
          <w:i/>
        </w:rPr>
        <w:t xml:space="preserve">Y.activity.2016.ps</w:t>
      </w:r>
      <w:r>
        <w:rPr>
          <w:i/>
        </w:rPr>
        <w:t xml:space="preserve">”</w:t>
      </w:r>
      <w:r>
        <w:t xml:space="preserve">,</w:t>
      </w:r>
      <w:r>
        <w:t xml:space="preserve"> </w:t>
      </w:r>
      <w:r>
        <w:rPr>
          <w:i/>
        </w:rPr>
        <w:t xml:space="preserve">“</w:t>
      </w:r>
      <w:r>
        <w:rPr>
          <w:i/>
        </w:rPr>
        <w:t xml:space="preserve">numb.employees.2016</w:t>
      </w:r>
      <w:r>
        <w:rPr>
          <w:i/>
        </w:rPr>
        <w:t xml:space="preserve">”</w:t>
      </w:r>
      <w:r>
        <w:t xml:space="preserve">,</w:t>
      </w:r>
      <w:r>
        <w:t xml:space="preserve"> </w:t>
      </w:r>
      <w:r>
        <w:rPr>
          <w:i/>
        </w:rPr>
        <w:t xml:space="preserve">“</w:t>
      </w:r>
      <w:r>
        <w:rPr>
          <w:i/>
        </w:rPr>
        <w:t xml:space="preserve">Sum.activity.2015</w:t>
      </w:r>
      <w:r>
        <w:rPr>
          <w:i/>
        </w:rPr>
        <w:t xml:space="preserve">”</w:t>
      </w:r>
      <w:r>
        <w:t xml:space="preserve">, т.к. P-значения &lt; 0.05.</w:t>
      </w:r>
    </w:p>
    <w:p>
      <w:pPr>
        <w:pStyle w:val="Heading2"/>
      </w:pPr>
      <w:bookmarkStart w:id="28" w:name="анализ-линейных-взаимосвязей"/>
      <w:r>
        <w:t xml:space="preserve">4. Анализ линейных взаимосвязей</w:t>
      </w:r>
      <w:bookmarkEnd w:id="28"/>
    </w:p>
    <w:p>
      <w:pPr>
        <w:pStyle w:val="Heading1"/>
      </w:pPr>
      <w:bookmarkStart w:id="29" w:name="графики-разброса"/>
      <w:r>
        <w:t xml:space="preserve">Графики разброса</w:t>
      </w:r>
      <w:bookmarkEnd w:id="29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лаба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Вывод:</w:t>
      </w:r>
      <w:r>
        <w:t xml:space="preserve"> </w:t>
      </w:r>
      <w:r>
        <w:t xml:space="preserve">по первой строке графиков попытаемся определить наличие связи между</w:t>
      </w:r>
      <w:r>
        <w:t xml:space="preserve"> </w:t>
      </w:r>
      <w:r>
        <w:rPr>
          <w:i/>
        </w:rPr>
        <w:t xml:space="preserve">Y.activity.2016.ps</w:t>
      </w:r>
      <w:r>
        <w:t xml:space="preserve"> </w:t>
      </w:r>
      <w:r>
        <w:t xml:space="preserve">и остальными показателями. Скорее всего связь отсутствует со всеми показателями, но возможны слабые связи.</w:t>
      </w:r>
    </w:p>
    <w:p>
      <w:pPr>
        <w:pStyle w:val="Heading1"/>
      </w:pPr>
      <w:bookmarkStart w:id="31" w:name="корреляционная-матрица"/>
      <w:r>
        <w:t xml:space="preserve">Корреляционная матрица</w:t>
      </w:r>
      <w:bookmarkEnd w:id="31"/>
    </w:p>
    <w:p>
      <w:pPr>
        <w:pStyle w:val="Heading1"/>
      </w:pPr>
      <w:bookmarkStart w:id="32" w:name="визуализация-корреляционной-матрицы"/>
      <w:r>
        <w:t xml:space="preserve">Визуализация корреляционной матрицы</w:t>
      </w:r>
      <w:bookmarkEnd w:id="3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лаба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Вывод:</w:t>
      </w:r>
      <w:r>
        <w:t xml:space="preserve"> </w:t>
      </w:r>
      <w:r>
        <w:t xml:space="preserve">Взаимосвязь</w:t>
      </w:r>
      <w:r>
        <w:t xml:space="preserve"> </w:t>
      </w:r>
      <w:r>
        <w:rPr>
          <w:i/>
        </w:rPr>
        <w:t xml:space="preserve">Y.activity.2016.ps</w:t>
      </w:r>
      <w:r>
        <w:t xml:space="preserve"> </w:t>
      </w:r>
      <w:r>
        <w:t xml:space="preserve">значима с показателями</w:t>
      </w:r>
      <w:r>
        <w:t xml:space="preserve"> </w:t>
      </w:r>
      <w:r>
        <w:rPr>
          <w:i/>
        </w:rPr>
        <w:t xml:space="preserve">numb.employees.2016</w:t>
      </w:r>
      <w:r>
        <w:t xml:space="preserve"> </w:t>
      </w:r>
      <w:r>
        <w:t xml:space="preserve">и</w:t>
      </w:r>
      <w:r>
        <w:t xml:space="preserve"> </w:t>
      </w:r>
      <w:r>
        <w:rPr>
          <w:i/>
        </w:rPr>
        <w:t xml:space="preserve">Sum.activity.2015</w:t>
      </w:r>
      <w:r>
        <w:t xml:space="preserve">.</w:t>
      </w:r>
    </w:p>
    <w:p>
      <w:pPr>
        <w:pStyle w:val="Heading1"/>
      </w:pPr>
      <w:bookmarkStart w:id="34" w:name="раздел-ii"/>
      <w:r>
        <w:t xml:space="preserve">Раздел II</w:t>
      </w:r>
      <w:bookmarkEnd w:id="34"/>
    </w:p>
    <w:p>
      <w:pPr>
        <w:pStyle w:val="Heading2"/>
      </w:pPr>
      <w:bookmarkStart w:id="35" w:name="X563f73b0255f7c466c64da1a0434f78d827b940"/>
      <w:r>
        <w:t xml:space="preserve">Описательная статистика логарифмированных данных:</w:t>
      </w:r>
      <w:bookmarkEnd w:id="35"/>
    </w:p>
    <w:tbl>
      <w:tblPr>
        <w:tblStyle w:val="Table"/>
        <w:tblW w:type="pct" w:w="5000.0"/>
        <w:tblLook w:firstRow="1"/>
      </w:tblPr>
      <w:tblGrid>
        <w:gridCol w:w="1743"/>
        <w:gridCol w:w="1380"/>
        <w:gridCol w:w="944"/>
        <w:gridCol w:w="1453"/>
        <w:gridCol w:w="1089"/>
        <w:gridCol w:w="1307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Y.activity.2016.ps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INDEX.p.2016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numb.employees.2016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INDEX.VRP.2015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Sum.activity.2015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Среднее</w:t>
            </w:r>
          </w:p>
        </w:tc>
        <w:tc>
          <w:p>
            <w:pPr>
              <w:pStyle w:val="Compact"/>
              <w:jc w:val="right"/>
            </w:pPr>
            <w:r>
              <w:t xml:space="preserve">12.440</w:t>
            </w:r>
          </w:p>
        </w:tc>
        <w:tc>
          <w:p>
            <w:pPr>
              <w:pStyle w:val="Compact"/>
              <w:jc w:val="right"/>
            </w:pPr>
            <w:r>
              <w:t xml:space="preserve">4.636</w:t>
            </w:r>
          </w:p>
        </w:tc>
        <w:tc>
          <w:p>
            <w:pPr>
              <w:pStyle w:val="Compact"/>
              <w:jc w:val="right"/>
            </w:pPr>
            <w:r>
              <w:t xml:space="preserve">6.659</w:t>
            </w:r>
          </w:p>
        </w:tc>
        <w:tc>
          <w:p>
            <w:pPr>
              <w:pStyle w:val="Compact"/>
              <w:jc w:val="right"/>
            </w:pPr>
            <w:r>
              <w:t xml:space="preserve">4.608</w:t>
            </w:r>
          </w:p>
        </w:tc>
        <w:tc>
          <w:p>
            <w:pPr>
              <w:pStyle w:val="Compact"/>
              <w:jc w:val="right"/>
            </w:pPr>
            <w:r>
              <w:t xml:space="preserve">14.878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Стандартное отклонение</w:t>
            </w:r>
          </w:p>
        </w:tc>
        <w:tc>
          <w:p>
            <w:pPr>
              <w:pStyle w:val="Compact"/>
              <w:jc w:val="right"/>
            </w:pPr>
            <w:r>
              <w:t xml:space="preserve">1.500</w:t>
            </w:r>
          </w:p>
        </w:tc>
        <w:tc>
          <w:p>
            <w:pPr>
              <w:pStyle w:val="Compact"/>
              <w:jc w:val="right"/>
            </w:pPr>
            <w:r>
              <w:t xml:space="preserve">0.078</w:t>
            </w:r>
          </w:p>
        </w:tc>
        <w:tc>
          <w:p>
            <w:pPr>
              <w:pStyle w:val="Compact"/>
              <w:jc w:val="right"/>
            </w:pPr>
            <w:r>
              <w:t xml:space="preserve">1.026</w:t>
            </w:r>
          </w:p>
        </w:tc>
        <w:tc>
          <w:p>
            <w:pPr>
              <w:pStyle w:val="Compact"/>
              <w:jc w:val="right"/>
            </w:pPr>
            <w:r>
              <w:t xml:space="preserve">0.028</w:t>
            </w:r>
          </w:p>
        </w:tc>
        <w:tc>
          <w:p>
            <w:pPr>
              <w:pStyle w:val="Compact"/>
              <w:jc w:val="right"/>
            </w:pPr>
            <w:r>
              <w:t xml:space="preserve">1.563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Коэффициент вариации, %</w:t>
            </w:r>
          </w:p>
        </w:tc>
        <w:tc>
          <w:p>
            <w:pPr>
              <w:pStyle w:val="Compact"/>
              <w:jc w:val="right"/>
            </w:pPr>
            <w:r>
              <w:t xml:space="preserve">12.058</w:t>
            </w:r>
          </w:p>
        </w:tc>
        <w:tc>
          <w:p>
            <w:pPr>
              <w:pStyle w:val="Compact"/>
              <w:jc w:val="right"/>
            </w:pPr>
            <w:r>
              <w:t xml:space="preserve">1.682</w:t>
            </w:r>
          </w:p>
        </w:tc>
        <w:tc>
          <w:p>
            <w:pPr>
              <w:pStyle w:val="Compact"/>
              <w:jc w:val="right"/>
            </w:pPr>
            <w:r>
              <w:t xml:space="preserve">15.408</w:t>
            </w:r>
          </w:p>
        </w:tc>
        <w:tc>
          <w:p>
            <w:pPr>
              <w:pStyle w:val="Compact"/>
              <w:jc w:val="right"/>
            </w:pPr>
            <w:r>
              <w:t xml:space="preserve">0.608</w:t>
            </w:r>
          </w:p>
        </w:tc>
        <w:tc>
          <w:p>
            <w:pPr>
              <w:pStyle w:val="Compact"/>
              <w:jc w:val="right"/>
            </w:pPr>
            <w:r>
              <w:t xml:space="preserve">10.505</w:t>
            </w:r>
          </w:p>
        </w:tc>
      </w:tr>
    </w:tbl>
    <w:p>
      <w:pPr>
        <w:pStyle w:val="BodyText"/>
      </w:pPr>
      <w:r>
        <w:rPr>
          <w:b/>
        </w:rPr>
        <w:t xml:space="preserve">Вывод:</w:t>
      </w:r>
      <w:r>
        <w:t xml:space="preserve"> </w:t>
      </w:r>
      <w:r>
        <w:rPr>
          <w:i/>
        </w:rPr>
        <w:t xml:space="preserve">Y.activity.2016.ps</w:t>
      </w:r>
      <w:r>
        <w:t xml:space="preserve">,</w:t>
      </w:r>
      <w:r>
        <w:t xml:space="preserve"> </w:t>
      </w:r>
      <w:r>
        <w:rPr>
          <w:i/>
        </w:rPr>
        <w:t xml:space="preserve">numb.employees</w:t>
      </w:r>
      <w:r>
        <w:t xml:space="preserve">,</w:t>
      </w:r>
      <w:r>
        <w:t xml:space="preserve"> </w:t>
      </w:r>
      <w:r>
        <w:rPr>
          <w:i/>
        </w:rPr>
        <w:t xml:space="preserve">Sum.activity.2015</w:t>
      </w:r>
      <w:r>
        <w:t xml:space="preserve"> </w:t>
      </w:r>
      <w:r>
        <w:t xml:space="preserve">показатели не однородны</w:t>
      </w:r>
    </w:p>
    <w:p>
      <w:pPr>
        <w:pStyle w:val="Heading2"/>
      </w:pPr>
      <w:bookmarkStart w:id="36" w:name="анализ-распределения-данных-1"/>
      <w:r>
        <w:t xml:space="preserve">Анализ распределения данных</w:t>
      </w:r>
      <w:bookmarkEnd w:id="36"/>
    </w:p>
    <w:p>
      <w:pPr>
        <w:pStyle w:val="Heading1"/>
      </w:pPr>
      <w:bookmarkStart w:id="37" w:name="гистограммы-1"/>
      <w:r>
        <w:t xml:space="preserve">Гистограммы</w:t>
      </w:r>
      <w:bookmarkEnd w:id="37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лаба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Вывод:</w:t>
      </w:r>
      <w:r>
        <w:t xml:space="preserve"> </w:t>
      </w:r>
      <w:r>
        <w:t xml:space="preserve">Судя по гистограммам, распределения всех показателей ассиметричны по сравнению с нормальным законом</w:t>
      </w:r>
    </w:p>
    <w:p>
      <w:pPr>
        <w:pStyle w:val="Heading2"/>
      </w:pPr>
      <w:bookmarkStart w:id="39" w:name="тесты-на-нормальность-и-крит.значения-1"/>
      <w:r>
        <w:t xml:space="preserve">Тесты на нормальность и крит.значения</w:t>
      </w:r>
      <w:bookmarkEnd w:id="3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krit.zn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Y.activity.2016.ps.A</w:t>
            </w:r>
          </w:p>
        </w:tc>
        <w:tc>
          <w:p>
            <w:pPr>
              <w:pStyle w:val="Compact"/>
              <w:jc w:val="right"/>
            </w:pPr>
            <w:r>
              <w:t xml:space="preserve">0.4188</w:t>
            </w:r>
          </w:p>
        </w:tc>
        <w:tc>
          <w:p>
            <w:pPr>
              <w:pStyle w:val="Compact"/>
              <w:jc w:val="right"/>
            </w:pPr>
            <w:r>
              <w:t xml:space="preserve">0.3200</w:t>
            </w:r>
          </w:p>
        </w:tc>
        <w:tc>
          <w:p>
            <w:pPr>
              <w:pStyle w:val="Compact"/>
              <w:jc w:val="right"/>
            </w:pPr>
            <w:r>
              <w:t xml:space="preserve">72.7818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INDEX.p.2016.A</w:t>
            </w:r>
          </w:p>
        </w:tc>
        <w:tc>
          <w:p>
            <w:pPr>
              <w:pStyle w:val="Compact"/>
              <w:jc w:val="right"/>
            </w:pPr>
            <w:r>
              <w:t xml:space="preserve">1.5455</w:t>
            </w:r>
          </w:p>
        </w:tc>
        <w:tc>
          <w:p>
            <w:pPr>
              <w:pStyle w:val="Compact"/>
              <w:jc w:val="right"/>
            </w:pPr>
            <w:r>
              <w:t xml:space="preserve">0.0005</w:t>
            </w:r>
          </w:p>
        </w:tc>
        <w:tc>
          <w:p>
            <w:pPr>
              <w:pStyle w:val="Compact"/>
              <w:jc w:val="right"/>
            </w:pPr>
            <w:r>
              <w:t xml:space="preserve">519.7003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numb.employees.2016.A</w:t>
            </w:r>
          </w:p>
        </w:tc>
        <w:tc>
          <w:p>
            <w:pPr>
              <w:pStyle w:val="Compact"/>
              <w:jc w:val="right"/>
            </w:pPr>
            <w:r>
              <w:t xml:space="preserve">1.4201</w:t>
            </w:r>
          </w:p>
        </w:tc>
        <w:tc>
          <w:p>
            <w:pPr>
              <w:pStyle w:val="Compact"/>
              <w:jc w:val="right"/>
            </w:pPr>
            <w:r>
              <w:t xml:space="preserve">0.0011</w:t>
            </w:r>
          </w:p>
        </w:tc>
        <w:tc>
          <w:p>
            <w:pPr>
              <w:pStyle w:val="Compact"/>
              <w:jc w:val="right"/>
            </w:pPr>
            <w:r>
              <w:t xml:space="preserve">56.9536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INDEX.VRP.2015.A</w:t>
            </w:r>
          </w:p>
        </w:tc>
        <w:tc>
          <w:p>
            <w:pPr>
              <w:pStyle w:val="Compact"/>
              <w:jc w:val="right"/>
            </w:pPr>
            <w:r>
              <w:t xml:space="preserve">1.0924</w:t>
            </w:r>
          </w:p>
        </w:tc>
        <w:tc>
          <w:p>
            <w:pPr>
              <w:pStyle w:val="Compact"/>
              <w:jc w:val="right"/>
            </w:pPr>
            <w:r>
              <w:t xml:space="preserve">0.0069</w:t>
            </w:r>
          </w:p>
        </w:tc>
        <w:tc>
          <w:p>
            <w:pPr>
              <w:pStyle w:val="Compact"/>
              <w:jc w:val="right"/>
            </w:pPr>
            <w:r>
              <w:t xml:space="preserve">1456.2793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Sum.activity.2015.A</w:t>
            </w:r>
          </w:p>
        </w:tc>
        <w:tc>
          <w:p>
            <w:pPr>
              <w:pStyle w:val="Compact"/>
              <w:jc w:val="right"/>
            </w:pPr>
            <w:r>
              <w:t xml:space="preserve">0.4824</w:t>
            </w:r>
          </w:p>
        </w:tc>
        <w:tc>
          <w:p>
            <w:pPr>
              <w:pStyle w:val="Compact"/>
              <w:jc w:val="right"/>
            </w:pPr>
            <w:r>
              <w:t xml:space="preserve">0.2242</w:t>
            </w:r>
          </w:p>
        </w:tc>
        <w:tc>
          <w:p>
            <w:pPr>
              <w:pStyle w:val="Compact"/>
              <w:jc w:val="right"/>
            </w:pPr>
            <w:r>
              <w:t xml:space="preserve">83.5456</w:t>
            </w:r>
          </w:p>
        </w:tc>
      </w:tr>
    </w:tbl>
    <w:p>
      <w:pPr>
        <w:pStyle w:val="BodyText"/>
      </w:pPr>
      <w:r>
        <w:rPr>
          <w:b/>
        </w:rPr>
        <w:t xml:space="preserve">Вывод:</w:t>
      </w:r>
      <w:r>
        <w:t xml:space="preserve"> </w:t>
      </w:r>
      <w:r>
        <w:t xml:space="preserve">Проверяя гипотезу нормального распределения для переменных на уровне значимости 0.05, мы отвергаем все, кроме</w:t>
      </w:r>
      <w:r>
        <w:t xml:space="preserve"> </w:t>
      </w:r>
      <w:r>
        <w:rPr>
          <w:i/>
        </w:rPr>
        <w:t xml:space="preserve">Y.activity.2016.ps</w:t>
      </w:r>
      <w:r>
        <w:t xml:space="preserve"> </w:t>
      </w:r>
      <w:r>
        <w:t xml:space="preserve">и</w:t>
      </w:r>
      <w:r>
        <w:t xml:space="preserve"> </w:t>
      </w:r>
      <w:r>
        <w:rPr>
          <w:i/>
        </w:rPr>
        <w:t xml:space="preserve">Sum.activity.2015</w:t>
      </w:r>
      <w:r>
        <w:t xml:space="preserve"> </w:t>
      </w:r>
      <w:r>
        <w:t xml:space="preserve">так как остальные p-значения &lt; 0.05 .</w:t>
      </w:r>
    </w:p>
    <w:p>
      <w:pPr>
        <w:pStyle w:val="Heading1"/>
      </w:pPr>
      <w:bookmarkStart w:id="40" w:name="графики-разброса-1"/>
      <w:r>
        <w:t xml:space="preserve">Графики разброса</w:t>
      </w:r>
      <w:bookmarkEnd w:id="40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лаба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 xml:space="preserve">Вывод:</w:t>
      </w:r>
      <w:r>
        <w:t xml:space="preserve"> </w:t>
      </w:r>
      <w:r>
        <w:t xml:space="preserve">по первой строке графиков попытаемся определить наличие связи между</w:t>
      </w:r>
      <w:r>
        <w:t xml:space="preserve"> </w:t>
      </w:r>
      <w:r>
        <w:rPr>
          <w:i/>
        </w:rPr>
        <w:t xml:space="preserve">Y.activity.2016.ps</w:t>
      </w:r>
      <w:r>
        <w:t xml:space="preserve"> </w:t>
      </w:r>
      <w:r>
        <w:t xml:space="preserve">и остальными показателями. Можно предположить, что есть положительная связь между</w:t>
      </w:r>
      <w:r>
        <w:t xml:space="preserve"> </w:t>
      </w:r>
      <w:r>
        <w:rPr>
          <w:i/>
        </w:rPr>
        <w:t xml:space="preserve">Y.activity.2016.ps</w:t>
      </w:r>
      <w:r>
        <w:t xml:space="preserve"> </w:t>
      </w:r>
      <w:r>
        <w:t xml:space="preserve">и</w:t>
      </w:r>
      <w:r>
        <w:t xml:space="preserve"> </w:t>
      </w:r>
      <w:r>
        <w:rPr>
          <w:i/>
        </w:rPr>
        <w:t xml:space="preserve">numb.employees.2016</w:t>
      </w:r>
      <w:r>
        <w:t xml:space="preserve">,</w:t>
      </w:r>
      <w:r>
        <w:t xml:space="preserve"> </w:t>
      </w:r>
      <w:r>
        <w:rPr>
          <w:i/>
        </w:rPr>
        <w:t xml:space="preserve">Sum.activity.2015</w:t>
      </w:r>
      <w:r>
        <w:t xml:space="preserve">.</w:t>
      </w:r>
    </w:p>
    <w:p>
      <w:pPr>
        <w:pStyle w:val="Heading1"/>
      </w:pPr>
      <w:bookmarkStart w:id="42" w:name="корреляционная-матрица-1"/>
      <w:r>
        <w:t xml:space="preserve">Корреляционная матрица</w:t>
      </w:r>
      <w:bookmarkEnd w:id="4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лаба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Вывод:</w:t>
      </w:r>
      <w:r>
        <w:t xml:space="preserve"> </w:t>
      </w:r>
      <w:r>
        <w:t xml:space="preserve">Взаимосвязь</w:t>
      </w:r>
      <w:r>
        <w:t xml:space="preserve"> </w:t>
      </w:r>
      <w:r>
        <w:rPr>
          <w:i/>
        </w:rPr>
        <w:t xml:space="preserve">Y.activity.2016.ps</w:t>
      </w:r>
      <w:r>
        <w:t xml:space="preserve"> </w:t>
      </w:r>
      <w:r>
        <w:t xml:space="preserve">значима с показателями</w:t>
      </w:r>
      <w:r>
        <w:t xml:space="preserve"> </w:t>
      </w:r>
      <w:r>
        <w:rPr>
          <w:i/>
        </w:rPr>
        <w:t xml:space="preserve">numb.employees.2016</w:t>
      </w:r>
      <w:r>
        <w:t xml:space="preserve"> </w:t>
      </w:r>
      <w:r>
        <w:t xml:space="preserve">и</w:t>
      </w:r>
      <w:r>
        <w:t xml:space="preserve"> </w:t>
      </w:r>
      <w:r>
        <w:rPr>
          <w:i/>
        </w:rPr>
        <w:t xml:space="preserve">Sum.activity.2015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8" Target="media/rId3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creator>Горбовский А.А.</dc:creator>
  <cp:keywords/>
  <dcterms:created xsi:type="dcterms:W3CDTF">2020-12-08T00:49:52Z</dcterms:created>
  <dcterms:modified xsi:type="dcterms:W3CDTF">2020-12-08T00:49:52Z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31 11 2020</vt:lpwstr>
  </property>
  <property fmtid="{D5CDD505-2E9C-101B-9397-08002B2CF9AE}" pid="3" name="output">
    <vt:lpwstr>word_document</vt:lpwstr>
  </property>
</Properties>
</file>