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891B2"/>
          <w:sz w:val="52"/>
          <w:szCs w:val="52"/>
        </w:rPr>
        <w:t xml:space="preserve">VOLTA NEOBANK</w:t>
      </w:r>
    </w:p>
    <w:p>
      <w:pPr>
        <w:spacing w:after="120"/>
        <w:jc w:val="center"/>
      </w:pPr>
      <w:r>
        <w:rPr>
          <w:rFonts w:ascii="Arial" w:cs="Arial" w:eastAsia="Arial" w:hAnsi="Arial"/>
          <w:color w:val="0D3D6B"/>
          <w:sz w:val="36"/>
          <w:szCs w:val="36"/>
        </w:rPr>
        <w:t xml:space="preserve">Product Analytics Portfolio</w:t>
      </w:r>
    </w:p>
    <w:p>
      <w:pPr>
        <w:pBdr>
          <w:bottom w:val="single" w:color="0891B2" w:sz="8" w:space="6"/>
        </w:pBdr>
        <w:spacing w:after="320"/>
        <w:jc w:val="center"/>
      </w:pP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Доклад к публичной защите · 4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F8FB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36"/>
                <w:szCs w:val="36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Funnel Analysis</w:t>
            </w:r>
          </w:p>
        </w:tc>
        <w:tc>
          <w:tcPr>
            <w:tcW w:type="dxa" w:w="23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F8FB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36"/>
                <w:szCs w:val="36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A/B Testing</w:t>
            </w:r>
          </w:p>
        </w:tc>
        <w:tc>
          <w:tcPr>
            <w:tcW w:type="dxa" w:w="234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8FB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6"/>
                <w:szCs w:val="36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Retention &amp; LTV</w:t>
            </w:r>
          </w:p>
        </w:tc>
        <w:tc>
          <w:tcPr>
            <w:tcW w:type="dxa" w:w="234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F8FB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36"/>
                <w:szCs w:val="36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Segmentation</w:t>
            </w:r>
          </w:p>
        </w:tc>
      </w:tr>
    </w:tbl>
    <w:p>
      <w:pPr>
        <w:spacing w:after="400"/>
      </w:pPr>
    </w:p>
    <w:p>
      <w:pPr>
        <w:spacing w:after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Fintech / Digital Banking  ·  Volta Neobank (кейс)</w:t>
      </w:r>
    </w:p>
    <w:p>
      <w:pPr>
        <w:spacing w:after="0"/>
      </w:pPr>
      <w:r>
        <w:br w:type="page"/>
      </w:r>
    </w:p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Как читать этот доклад</w:t>
      </w:r>
    </w:p>
    <w:p>
      <w:pPr>
        <w:spacing w:after="140"/>
        <w:ind w:left="200"/>
        <w:jc w:val="both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Каждый раздел — это готовый устный текст, разбитый на смысловые блоки. Перед каждым блоком есть подсказка-тайминг и пометка, на какой слайд смотреть в этот момент. Цитаты в рамках — это фразы, которые хорошо звучат дословно.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6"/>
              <w:bottom w:val="single" w:color="F59E0B" w:sz="1"/>
              <w:right w:val="single" w:color="F59E0B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⏱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Примерное время на один проект: 5–7 минут. Весь доклад занимает 25–30 минут + вопросы.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16"/>
              <w:bottom w:val="single" w:color="10B981" w:sz="1"/>
              <w:right w:val="single" w:color="10B98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🎯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Главная мысль всего портфолио: это не просто четыре разрозненных анализа — это один сквозной цикл: Обнаружить проблему → Проверить решение → Измерить долгосрочный эффект → Оптимизировать монетизацию.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891B2" w:sz="6" w:space="4"/>
        </w:pBdr>
        <w:shd w:fill="0D3D6B" w:val="clear"/>
        <w:spacing w:before="480" w:after="24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Проект 1: Анализ воронки онбординга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FF8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6"/>
                <w:szCs w:val="36"/>
              </w:rPr>
              <w:t xml:space="preserve">13%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Конверсия установка→транзакция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FF8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36"/>
                <w:szCs w:val="36"/>
              </w:rPr>
              <w:t xml:space="preserve">+34%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Рост CAC год к году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FF8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36"/>
                <w:szCs w:val="36"/>
              </w:rPr>
              <w:t xml:space="preserve">€85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LTV на пользователя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FF8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36"/>
                <w:szCs w:val="36"/>
              </w:rPr>
              <w:t xml:space="preserve">6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Этапов в воронке</w:t>
            </w:r>
          </w:p>
        </w:tc>
      </w:tr>
    </w:tbl>
    <w:p>
      <w:pPr>
        <w:spacing w:after="200"/>
      </w:pPr>
    </w:p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Вступление  [Слайд 1–2]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«Я начну с того, что мы увидели, когда впервые посмотрели на данные онбординга Volta. Компания тратит на привлечение пользователей на 34% больше, чем год назад. Но до первой транзакции доходит только 13% из тех, кто скачал приложение. Это означает, что деньги уходят на привлечение людей, которые потом просто не активируются.»</w:t>
            </w:r>
          </w:p>
        </w:tc>
      </w:tr>
    </w:tbl>
    <w:p>
      <w:pPr>
        <w:spacing w:after="120"/>
      </w:pPr>
    </w:p>
    <w:p>
      <w:pPr>
        <w:spacing w:after="140"/>
        <w:ind w:left="200"/>
        <w:jc w:val="both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После этой фразы сделай паузу и дай слушателям осмыслить цифру. Потом продолжай: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«Моя задача была найти — где именно теряются эти пользователи, и что с этим делать. Я взял данные по 50 000 пользователей, разбил их на 6 этапов воронки и посмотрел поведение по каналам привлечения, устройствам и возрастным группам.»</w:t>
            </w:r>
          </w:p>
        </w:tc>
      </w:tr>
    </w:tbl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Основные результаты  [Слайд 3]</w:t>
      </w:r>
    </w:p>
    <w:p>
      <w:pPr>
        <w:pStyle w:val="Heading3"/>
        <w:spacing w:before="240" w:after="80"/>
        <w:ind w:left="2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Воронка из 6 шагов</w:t>
      </w:r>
    </w:p>
    <w:p>
      <w:pPr>
        <w:spacing w:after="140"/>
        <w:ind w:left="200"/>
        <w:jc w:val="both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Покажи слайд с горизонтальными барами. Проговори вслух каждый этап сверху вниз: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«Из 50 000 установок 73% регистрируются — это нормально. Потом 49% начинают KYC-верификацию. И вот здесь — главный провал. Из тех, кто начал KYC, до конца доходит только 56.6%. Это абсолютный рекорд по потерям: на этом одном шаге мы теряем больше людей, чем на всех остальных вместе взятых.»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/>
        <w:ind w:left="600" w:hanging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App Install → Registration: 73.2%  (нормально)</w:t>
      </w:r>
    </w:p>
    <w:p>
      <w:pPr>
        <w:pStyle w:val="ListParagraph"/>
        <w:numPr>
          <w:ilvl w:val="0"/>
          <w:numId w:val="2"/>
        </w:numPr>
        <w:spacing w:after="100"/>
        <w:ind w:left="600" w:hanging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Registration → KYC Start: 67.2%  (приемлемо)</w:t>
      </w:r>
    </w:p>
    <w:p>
      <w:pPr>
        <w:pStyle w:val="ListParagraph"/>
        <w:numPr>
          <w:ilvl w:val="0"/>
          <w:numId w:val="2"/>
        </w:numPr>
        <w:spacing w:after="100"/>
        <w:ind w:left="600" w:hanging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KYC Start → KYC Complete: 56.6%  ⚠ ГЛАВНЫЙ ПРОВАЛ</w:t>
      </w:r>
    </w:p>
    <w:p>
      <w:pPr>
        <w:pStyle w:val="ListParagraph"/>
        <w:numPr>
          <w:ilvl w:val="0"/>
          <w:numId w:val="2"/>
        </w:numPr>
        <w:spacing w:after="100"/>
        <w:ind w:left="600" w:hanging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KYC Complete → Card Ordered: 71.8%  (хорошо)</w:t>
      </w:r>
    </w:p>
    <w:p>
      <w:pPr>
        <w:pStyle w:val="ListParagraph"/>
        <w:numPr>
          <w:ilvl w:val="0"/>
          <w:numId w:val="2"/>
        </w:numPr>
        <w:spacing w:after="100"/>
        <w:ind w:left="600" w:hanging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Card Ordered → First Tx: 63.7%  (есть потенциал)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16"/>
              <w:bottom w:val="single" w:color="10B981" w:sz="1"/>
              <w:right w:val="single" w:color="10B98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💡 Ключевая фраза: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«Если бы мы улучшили KYC с 56.6% до 61.6% — это только плюс 5 процентных пунктов — ежегодная выручка вырастет примерно на €340 000 только на этом шаге.»</w:t>
            </w:r>
          </w:p>
        </w:tc>
      </w:tr>
    </w:tbl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Сегментный анализ  [Слайд 4–5]</w:t>
      </w:r>
    </w:p>
    <w:p>
      <w:pPr>
        <w:pStyle w:val="Heading3"/>
        <w:spacing w:before="240" w:after="80"/>
        <w:ind w:left="2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Каналы привлечения</w:t>
      </w:r>
    </w:p>
    <w:p>
      <w:pPr>
        <w:spacing w:after="140"/>
        <w:ind w:left="200"/>
        <w:jc w:val="both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Переходи к слайду с bar chart по каналам. Объясни разницу: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«Реферальные пользователи конвертируются лучше всех — 19.2% до первой транзакции. Платный Social — худший канал: только 10.5%. Разрыв почти 9 процентных пунктов. Это значит, что мы переплачиваем за привлечение именно тех пользователей, которые потом не активируются.»</w:t>
            </w:r>
          </w:p>
        </w:tc>
      </w:tr>
    </w:tbl>
    <w:p>
      <w:pPr>
        <w:spacing w:after="120"/>
      </w:pPr>
    </w:p>
    <w:p>
      <w:pPr>
        <w:pStyle w:val="Heading3"/>
        <w:spacing w:before="240" w:after="80"/>
        <w:ind w:left="2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Устройства и возраст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«iOS-пользователи конвертируются на 3.6pp лучше Android на каждом шаге воронки. Это статистически значимо. И второй неожиданный результат: пользователи 45+ выполняют KYC значительно хуже молодёжи — разрыв 17 процентных пунктов. Вероятная причина — сложность с фотографированием документов в мобильном приложении.»</w:t>
            </w:r>
          </w:p>
        </w:tc>
      </w:tr>
    </w:tbl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Рекомендации  [Слайд 6]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«На основании этого анализа я предложил три A/B теста в порядке приоритета. Первый — прогресс-бар в KYC. Второй — упрощённая регистрация без номера телефона. Третий — пуш-уведомление на активацию карты с кешбэком €2 за первую транзакцию. И именно первый тест я запустил в следующем проекте.»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891B2" w:sz="6" w:space="4"/>
        </w:pBdr>
        <w:shd w:fill="0D3D6B" w:val="clear"/>
        <w:spacing w:before="480" w:after="24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Проект 2: A/B тест — Прогресс-бар в KYC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FF8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36"/>
                <w:szCs w:val="36"/>
              </w:rPr>
              <w:t xml:space="preserve">+4.82pp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Lift (абсолютный)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FF8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36"/>
                <w:szCs w:val="36"/>
              </w:rPr>
              <w:t xml:space="preserve">4.67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Z-счёт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FF8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36"/>
                <w:szCs w:val="36"/>
              </w:rPr>
              <w:t xml:space="preserve">&lt;0.0001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P-value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FF8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6"/>
                <w:szCs w:val="36"/>
              </w:rPr>
              <w:t xml:space="preserve">+€551K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Доп. выручка / год</w:t>
            </w:r>
          </w:p>
        </w:tc>
      </w:tr>
    </w:tbl>
    <w:p>
      <w:pPr>
        <w:spacing w:after="200"/>
      </w:pPr>
    </w:p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Постановка эксперимента  [Слайд 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«В первом проекте мы нашли проблему. Теперь нужно было проверить решение — прежде чем раскатывать его на всех пользователей. Я спроектировал рандомизированный эксперимент: 50% пользователей видят текущий KYC-флоу без изменений, 50% — тот же флоу, но с прогресс-баром вверху экрана: «Шаг 1 из 4», «Шаг 2 из 4» и так далее.»</w:t>
            </w:r>
          </w:p>
        </w:tc>
      </w:tr>
    </w:tbl>
    <w:p>
      <w:pPr>
        <w:spacing w:after="120"/>
      </w:pPr>
    </w:p>
    <w:p>
      <w:pPr>
        <w:pStyle w:val="Heading3"/>
        <w:spacing w:before="240" w:after="80"/>
        <w:ind w:left="2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Параметры теста</w:t>
      </w:r>
    </w:p>
    <w:p>
      <w:pPr>
        <w:pStyle w:val="ListParagraph"/>
        <w:numPr>
          <w:ilvl w:val="0"/>
          <w:numId w:val="2"/>
        </w:numPr>
        <w:spacing w:after="100"/>
        <w:ind w:left="600" w:hanging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Первичная метрика: KYC Start → KYC Complete</w:t>
      </w:r>
    </w:p>
    <w:p>
      <w:pPr>
        <w:pStyle w:val="ListParagraph"/>
        <w:numPr>
          <w:ilvl w:val="0"/>
          <w:numId w:val="2"/>
        </w:numPr>
        <w:spacing w:after="100"/>
        <w:ind w:left="600" w:hanging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MDE (минимальный обнаруживаемый эффект): +5pp</w:t>
      </w:r>
    </w:p>
    <w:p>
      <w:pPr>
        <w:pStyle w:val="ListParagraph"/>
        <w:numPr>
          <w:ilvl w:val="0"/>
          <w:numId w:val="2"/>
        </w:numPr>
        <w:spacing w:after="100"/>
        <w:ind w:left="600" w:hanging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Уровень значимости α = 0.05, мощность теста = 80%</w:t>
      </w:r>
    </w:p>
    <w:p>
      <w:pPr>
        <w:pStyle w:val="ListParagraph"/>
        <w:numPr>
          <w:ilvl w:val="0"/>
          <w:numId w:val="2"/>
        </w:numPr>
        <w:spacing w:after="100"/>
        <w:ind w:left="600" w:hanging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Необходимая выборка: ~4 000 пользователей на группу</w:t>
      </w:r>
    </w:p>
    <w:p>
      <w:pPr>
        <w:pStyle w:val="ListParagraph"/>
        <w:numPr>
          <w:ilvl w:val="0"/>
          <w:numId w:val="2"/>
        </w:numPr>
        <w:spacing w:after="100"/>
        <w:ind w:left="600" w:hanging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Продолжительность: 28 дней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6"/>
              <w:bottom w:val="single" w:color="F59E0B" w:sz="1"/>
              <w:right w:val="single" w:color="F59E0B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💡 Почему 28 дней?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«Чтобы охватить полный недельный цикл поведения четыре раза и нивелировать эффекты дней недели. Плюс — дать время набрать нужный объём выборки при 300 KYC-стартах в день.»</w:t>
            </w:r>
          </w:p>
        </w:tc>
      </w:tr>
    </w:tbl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Проверка рандомизации — SRM  [Слайд 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«Перед тем как смотреть на результаты, я проверил качество самого эксперимента. Sample Ratio Mismatch — это когда распределение пользователей по группам не соответствует запланированному 50/50. Если есть SRM, результатам нельзя доверять. Chi-square тест показал p = 0.72 — никакого SRM нет. Рандомизация чистая.»</w:t>
            </w:r>
          </w:p>
        </w:tc>
      </w:tr>
    </w:tbl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Результаты  [Слайд 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«Контрольная группа: 56.6%. Тестовая группа: 61.4%. Абсолютный прирост — 4.82 процентных пункта. Z-счёт 4.67, p-value меньше 0.0001. Это крайне высокая статистическая значимость — по сути, вероятность случайного результата менее одного из десяти тысяч.»</w:t>
            </w:r>
          </w:p>
        </w:tc>
      </w:tr>
    </w:tbl>
    <w:p>
      <w:pPr>
        <w:spacing w:after="120"/>
      </w:pPr>
    </w:p>
    <w:p>
      <w:pPr>
        <w:spacing w:after="140"/>
        <w:ind w:left="200"/>
        <w:jc w:val="both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Здесь можно добавить: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«Формально мы чуть-чуть не дотянули до целевого MDE в 5pp — 4.82 против 5.00. Но я принял решение рекомендовать раскатку, потому что: эффект реален и значим, доверительный интервал полностью выше нуля — [+2.1pp, +7.5pp], и ROI от фичи даже при нижней границе ДИ составляет больше 10x от стоимости разработки.»</w:t>
            </w:r>
          </w:p>
        </w:tc>
      </w:tr>
    </w:tbl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Сегментный анализ  [Слайд 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«Я не остановился на общем результате. Я разбил эффект по сегментам, чтобы понять — кому помогает прогресс-бар больше всего, а кому нет. Три интересных находки. Первая: пользователи 35–44 лет получили наибольший прирост — плюс 8.4pp. Вторая: Android-пользователи бенефитируют больше, чем iOS — это адресует разрыв, который мы нашли в первом проекте. И третья: пользователи 45+ получили незначимый прирост в 2.2pp. Это значит, что для них нужно другое решение — возможно, видеоинструкция или живой чат поддержки во время KYC.»</w:t>
            </w:r>
          </w:p>
        </w:tc>
      </w:tr>
    </w:tbl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Бизнес-эффект и финальная рекомендация  [Слайд 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«Если перевести это в деньги: 4.82pp прироста при 24 600 KYC-стартах в месяц дают 1 190 дополнительных завершений KYC. Через воронку до активированного пользователя доходит 543 человека в месяц. При LTV €85 это +€46 000 в месяц, или €551 000 в год. Стоимость разработки фичи — около €15 000. ROI — 37x за первый год.»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16"/>
              <w:bottom w:val="single" w:color="10B981" w:sz="1"/>
              <w:right w:val="single" w:color="10B98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✅ Финальная рекомендация: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Раскатить прогресс-бар на 100% пользователей. Разработать отдельный эксперимент для сегмента 45+. Мониторить метрику 8 недель после раскатки.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891B2" w:sz="6" w:space="4"/>
        </w:pBdr>
        <w:shd w:fill="0D3D6B" w:val="clear"/>
        <w:spacing w:before="480" w:after="24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Проект 3: Анализ удержания и LTV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FF8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36"/>
                <w:szCs w:val="36"/>
              </w:rPr>
              <w:t xml:space="preserve">+12pp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M1 Retention после фикса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FF8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36"/>
                <w:szCs w:val="36"/>
              </w:rPr>
              <w:t xml:space="preserve">+30%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LTV Free-пользователя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FF8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6"/>
                <w:szCs w:val="36"/>
              </w:rPr>
              <w:t xml:space="preserve">3.4×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Premium vs Free LTV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FF8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36"/>
                <w:szCs w:val="36"/>
              </w:rPr>
              <w:t xml:space="preserve">+€220K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Доп. выручка / год</w:t>
            </w:r>
          </w:p>
        </w:tc>
      </w:tr>
    </w:tbl>
    <w:p>
      <w:pPr>
        <w:spacing w:after="200"/>
      </w:pPr>
    </w:p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Зачем этот анализ?  [Слайд 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«В A/B тесте мы увидели, что прогресс-бар поднимает KYC-конверсию. Но это — краткосрочный эффект. Правильный вопрос звучит иначе: а пользователи, которых мы теперь активируем через улучшенный KYC — они более лояльны? Они остаются дольше? Они стоят больше? Именно это и измеряет третий проект.»</w:t>
            </w:r>
          </w:p>
        </w:tc>
      </w:tr>
    </w:tbl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Ключевой инсайт: Step-Change  [Слайд 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«Я построил когортную матрицу по всем месячным когортам за год. И увидел очень чёткий разрыв. Когорты до сентября 2024 года — до фикса — показывают M1 удержание в среднем 52%. Когорты после сентября — уже 64%. Плюс 12 процентных пунктов. Это не случайность — это прямое следствие улучшения KYC.»</w:t>
            </w:r>
          </w:p>
        </w:tc>
      </w:tr>
    </w:tbl>
    <w:p>
      <w:pPr>
        <w:spacing w:after="120"/>
      </w:pPr>
    </w:p>
    <w:p>
      <w:pPr>
        <w:spacing w:after="140"/>
        <w:ind w:left="200"/>
        <w:jc w:val="both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Пауза. Потом добавь: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«И самое важное: эффект сохраняется. На горизонте M6 — шести месяцев — удержание улучшилось с 17% до 26%. Это значит, что мы не просто стали пропускать больше людей через KYC — мы стали пропускать людей лучшего качества.»</w:t>
            </w:r>
          </w:p>
        </w:tc>
      </w:tr>
    </w:tbl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Канал и план  [Слайд 3]</w:t>
      </w:r>
    </w:p>
    <w:p>
      <w:pPr>
        <w:pStyle w:val="Heading3"/>
        <w:spacing w:before="240" w:after="80"/>
        <w:ind w:left="2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По каналу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«Реферальные пользователи удерживаются лучше всех на каждом горизонте: 64% в M1, 40% в M3, 28% в M6. Пользователи из платного социального трафика — худшие: 49% в M1, только 17% в M6. Это полностью согласуется с результатами первого проекта.»</w:t>
            </w:r>
          </w:p>
        </w:tc>
      </w:tr>
    </w:tbl>
    <w:p>
      <w:pPr>
        <w:spacing w:after="120"/>
      </w:pPr>
    </w:p>
    <w:p>
      <w:pPr>
        <w:pStyle w:val="Heading3"/>
        <w:spacing w:before="240" w:after="80"/>
        <w:ind w:left="2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По тарифному плану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«Но самая мощная находка этого проекта — не каналы. Это разрыв между Free и Premium-пользователями. Premium: 55% удержания в M6. Free: 18%. Разница — в три с лишним раза. Это делает тарифный план главным рычагом удержания — сильнее, чем канал привлечения.»</w:t>
            </w:r>
          </w:p>
        </w:tc>
      </w:tr>
    </w:tbl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LTV-проекция  [Слайд 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«Переведём это в деньги. До фикса 12-месячный LTV Free-пользователя составлял €11.8. После фикса — €15.4. Прирост €3.6 или +30%. Premium-пользователь стоит €40.0 — это в 3.4 раза больше Free. Если умножить улучшение LTV на объём новых активаций в месяц, получаем дополнительные €220 000 в год только от повышения удержания.»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16"/>
              <w:bottom w:val="single" w:color="10B981" w:sz="1"/>
              <w:right w:val="single" w:color="10B98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💡 Суммирующая фраза: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«Таким образом, суммарный годовой эффект от KYC-прогресс-бара — это €551K из A/B теста плюс €220K из улучшения LTV. Итого больше €770 000 в год от одной небольшой фичи.»</w:t>
            </w:r>
          </w:p>
        </w:tc>
      </w:tr>
    </w:tbl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Переход к проекту 4  [Слайд 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«Анализ удержания поставил два новых вопроса: кто эти 20% пользователей, которые остаются активными через 6 месяцев? И что именно приводит к конверсии в Premium? Чтобы ответить — нужна сегментация. Это тема четвёртого проекта.»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891B2" w:sz="6" w:space="4"/>
        </w:pBdr>
        <w:shd w:fill="0D3D6B" w:val="clear"/>
        <w:spacing w:before="480" w:after="24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Проект 4: Сегментация пользователей и монетизация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FF8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36"/>
                <w:szCs w:val="36"/>
              </w:rPr>
              <w:t xml:space="preserve">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Кластеров (K-Means)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FF8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6"/>
                <w:szCs w:val="36"/>
              </w:rPr>
              <w:t xml:space="preserve">€40K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Доп. выручка / месяц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FF8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36"/>
                <w:szCs w:val="36"/>
              </w:rPr>
              <w:t xml:space="preserve">9.6×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ROI стратегии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FF8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36"/>
                <w:szCs w:val="36"/>
              </w:rPr>
              <w:t xml:space="preserve">€50K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Инвестиции</w:t>
            </w:r>
          </w:p>
        </w:tc>
      </w:tr>
    </w:tbl>
    <w:p>
      <w:pPr>
        <w:spacing w:after="200"/>
      </w:pPr>
    </w:p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Методология  [Слайд 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«Для сегментации я использовал K-Means кластеризацию на 6 поведенческих признаках: количество транзакций, средний чек, баланс сберегательного кошелька, частота входов в приложение, количество P2P-переводов и срок с момента активации. Перед кластеризацией все признаки стандартизированы — иначе K-Means будет смещён в пользу признаков с большим масштабом.»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«Оптимальное число кластеров я определил методом локтя. При K=4 прирост от добавления ещё одного кластера падает ниже 8%. Это классический «локоть» — дальнейшее усложнение модели не оправдано. Для визуализации я применил PCA, который проецирует 6-мерное пространство в 2 измерения, объясняя 62% дисперсии.»</w:t>
            </w:r>
          </w:p>
        </w:tc>
      </w:tr>
    </w:tbl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4 сегмента  [Слайд 3]</w:t>
      </w:r>
    </w:p>
    <w:p>
      <w:pPr>
        <w:spacing w:after="140"/>
        <w:ind w:left="200"/>
        <w:jc w:val="both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Переходи к слайду с профилями сегментов. Пройдись по каждому:</w:t>
      </w:r>
    </w:p>
    <w:p>
      <w:pPr>
        <w:spacing w:after="80"/>
      </w:pPr>
    </w:p>
    <w:p>
      <w:pPr>
        <w:pStyle w:val="Heading3"/>
        <w:spacing w:before="240" w:after="80"/>
        <w:ind w:left="2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Power Users — 8% базы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«Это ядро. Они делают много транзакций, средний чек высокий, 74% из них на Premium-плане. ARPU €22 в месяц. Именно они генерируют непропорционально большую долю выручки при маленькой доле в базе.»</w:t>
            </w:r>
          </w:p>
        </w:tc>
      </w:tr>
    </w:tbl>
    <w:p>
      <w:pPr>
        <w:spacing w:after="80"/>
      </w:pPr>
    </w:p>
    <w:p>
      <w:pPr>
        <w:pStyle w:val="Heading3"/>
        <w:spacing w:before="240" w:after="80"/>
        <w:ind w:left="2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Growth Users — 22% базы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«Активные, ориентированные на сбережения пользователи. 32% уже на Premium. Это главная группа для апгрейда — у них есть поведенческие паттерны, которые ассоциируются с лояльностью, но они ещё не конвертировались в Premium.»</w:t>
            </w:r>
          </w:p>
        </w:tc>
      </w:tr>
    </w:tbl>
    <w:p>
      <w:pPr>
        <w:spacing w:after="80"/>
      </w:pPr>
    </w:p>
    <w:p>
      <w:pPr>
        <w:pStyle w:val="Heading3"/>
        <w:spacing w:before="240" w:after="80"/>
        <w:ind w:left="2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Casual Users — 27% базы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«Пользователи с низким вовлечением, ARPU €4. Они зарегистрировались, прошли KYC, но не нашли веских причин использовать приложение регулярно. Здесь нужна работа с онбордингом после активации.»</w:t>
            </w:r>
          </w:p>
        </w:tc>
      </w:tr>
    </w:tbl>
    <w:p>
      <w:pPr>
        <w:spacing w:after="80"/>
      </w:pPr>
    </w:p>
    <w:p>
      <w:pPr>
        <w:pStyle w:val="Heading3"/>
        <w:spacing w:before="240" w:after="80"/>
        <w:ind w:left="2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Dormant Users — 43% базы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«Самый большой сегмент по числу пользователей — и самый проблемный. ARPU €0.5. Они когда-то активировались, но почти не используют приложение. Здесь два варианта: реактивировать или оформить корректный отток.»</w:t>
            </w:r>
          </w:p>
        </w:tc>
      </w:tr>
    </w:tbl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Стратегия монетизации  [Слайд 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«Под каждый сегмент я разработал отдельную тактику. Power Users: VIP-программа с бейджем и эксклюзивными функциями — цель удержать и сделать амбассадорами. Growth Users: бесплатный Premium-триал на 30 дней в месяце 2 — они уже готовы к апгрейду, нужен только триггер. Casual Users: упрощённый повторный онбординг с демонстрацией ценности — показать им, что они упускают. Dormant: win-back кампания с кредитом €5 на счёт — либо реактивация, либо достойный выход.»</w:t>
            </w:r>
          </w:p>
        </w:tc>
      </w:tr>
    </w:tbl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Ожидаемый ROI  [Слайд 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16"/>
              <w:bottom w:val="single" w:color="0891B2" w:sz="1"/>
              <w:right w:val="single" w:color="0891B2" w:sz="1"/>
            </w:tcBorders>
            <w:shd w:fill="EFF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📢 Говори это вслух: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«Если реализовать эти четыре стратегии, модель даёт €40 000 дополнительной выручки в месяц, или €480 000 в год. Инвестиции в разработку и маркетинговое исполнение — €50 000. ROI — 9.6x за первый год.»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16"/>
              <w:bottom w:val="single" w:color="10B981" w:sz="1"/>
              <w:right w:val="single" w:color="10B98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✅ Финальная фраза проекта: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«Четвёртый проект закрывает цикл. Мы обнаружили проблему, проверили решение, измерили долгосрочный эффект — и теперь знаем, кому и что предлагать, чтобы максимизировать выручку с каждого пользователя.»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891B2" w:sz="6" w:space="4"/>
        </w:pBdr>
        <w:shd w:fill="0D3D6B" w:val="clear"/>
        <w:spacing w:before="480" w:after="24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Заключение: Единый нарратив</w:t>
      </w:r>
    </w:p>
    <w:p>
      <w:pPr>
        <w:spacing w:after="140"/>
        <w:ind w:left="200"/>
        <w:jc w:val="both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Это самый важный блок доклада. Покажи, что четыре проекта — это не просто набор задач, а единый аналитический цикл.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P1 · Воронка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Где теряются пользователи?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891B2"/>
                <w:sz w:val="20"/>
                <w:szCs w:val="20"/>
              </w:rPr>
              <w:t xml:space="preserve">KYC — 56.6% completion, главный bottleneck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P2 · A/B тест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Работает ли прогресс-бар?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891B2"/>
                <w:sz w:val="20"/>
                <w:szCs w:val="20"/>
              </w:rPr>
              <w:t xml:space="preserve">+4.82pp, p&lt;0.0001, ROI 37× за год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P3 · Удержание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Что изменилось долгосрочно?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891B2"/>
                <w:sz w:val="20"/>
                <w:szCs w:val="20"/>
              </w:rPr>
              <w:t xml:space="preserve">+30% LTV, +12pp M1 retention после фикса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P4 · Сегментация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Как максимизировать выручку?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891B2"/>
                <w:sz w:val="20"/>
                <w:szCs w:val="20"/>
              </w:rPr>
              <w:t xml:space="preserve">4 сегмента, стратегия €480K/год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16"/>
              <w:bottom w:val="single" w:color="10B981" w:sz="1"/>
              <w:right w:val="single" w:color="10B98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📢 Заключительные слова доклада: 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«Я хотел показать не просто четыре технических задания. Я хотел показать, как работает аналитик на практике: ты находишь проблему в данных, проверяешь решение в эксперименте, доказываешь долгосрочный эффект и затем строишь стратегию на основании того, что узнал. Это и есть продуктовая аналитика — от "что происходит" до "что с этим делать" и "сколько это стоит".»</w:t>
            </w:r>
          </w:p>
        </w:tc>
      </w:tr>
    </w:tbl>
    <w:p>
      <w:pPr>
        <w:spacing w:after="200"/>
      </w:pPr>
    </w:p>
    <w:p>
      <w:pPr>
        <w:pStyle w:val="Heading2"/>
        <w:pBdr>
          <w:left w:val="single" w:color="0891B2" w:sz="16" w:space="8"/>
        </w:pBdr>
        <w:spacing w:before="360" w:after="120"/>
        <w:ind w:left="200"/>
      </w:pPr>
      <w:r>
        <w:rPr>
          <w:rFonts w:ascii="Arial" w:cs="Arial" w:eastAsia="Arial" w:hAnsi="Arial"/>
          <w:b/>
          <w:bCs/>
          <w:color w:val="0D3D6B"/>
          <w:sz w:val="28"/>
          <w:szCs w:val="28"/>
        </w:rPr>
        <w:t xml:space="preserve">Вероятные вопросы и ответы</w:t>
      </w:r>
    </w:p>
    <w:p>
      <w:pPr>
        <w:spacing w:after="80"/>
      </w:pPr>
    </w:p>
    <w:p>
      <w:pPr>
        <w:spacing w:before="200" w:after="80"/>
        <w:ind w:left="200"/>
      </w:pPr>
      <w:r>
        <w:rPr>
          <w:rFonts w:ascii="Arial" w:cs="Arial" w:eastAsia="Arial" w:hAnsi="Arial"/>
          <w:b/>
          <w:bCs/>
          <w:color w:val="0D3D6B"/>
          <w:sz w:val="22"/>
          <w:szCs w:val="22"/>
        </w:rPr>
        <w:t xml:space="preserve">В: Почему именно 5pp как MDE в A/B тесте?</w:t>
      </w:r>
    </w:p>
    <w:p>
      <w:pPr>
        <w:spacing w:after="200"/>
        <w:ind w:left="40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О: Исходя из бизнес-минимума: при ARPU €85 и объёме 24 600 KYC-стартов в месяц, 5pp дают ≈€46K в месяц дополнительной выручки — это окупает стоимость разработки менее чем за месяц. Эффект меньше 5pp тоже ценен, но его сложнее приоритизировать над другими задачами.</w:t>
      </w:r>
    </w:p>
    <w:p>
      <w:pPr>
        <w:spacing w:before="200" w:after="80"/>
        <w:ind w:left="200"/>
      </w:pPr>
      <w:r>
        <w:rPr>
          <w:rFonts w:ascii="Arial" w:cs="Arial" w:eastAsia="Arial" w:hAnsi="Arial"/>
          <w:b/>
          <w:bCs/>
          <w:color w:val="0D3D6B"/>
          <w:sz w:val="22"/>
          <w:szCs w:val="22"/>
        </w:rPr>
        <w:t xml:space="preserve">В: Можно ли доверять результатам, если не дошли до 5pp?</w:t>
      </w:r>
    </w:p>
    <w:p>
      <w:pPr>
        <w:spacing w:after="200"/>
        <w:ind w:left="40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О: Да. Главный критерий — статистическая значимость, а не формальное достижение MDE. Доверительный интервал [+2.1pp, +7.5pp] полностью выше нуля. Это означает, что эффект реален с вероятностью 95%. MDE — это порог планирования, а не порог принятия решения.</w:t>
      </w:r>
    </w:p>
    <w:p>
      <w:pPr>
        <w:spacing w:before="200" w:after="80"/>
        <w:ind w:left="200"/>
      </w:pPr>
      <w:r>
        <w:rPr>
          <w:rFonts w:ascii="Arial" w:cs="Arial" w:eastAsia="Arial" w:hAnsi="Arial"/>
          <w:b/>
          <w:bCs/>
          <w:color w:val="0D3D6B"/>
          <w:sz w:val="22"/>
          <w:szCs w:val="22"/>
        </w:rPr>
        <w:t xml:space="preserve">В: Почему K=4 кластера, а не 3 или 5?</w:t>
      </w:r>
    </w:p>
    <w:p>
      <w:pPr>
        <w:spacing w:after="200"/>
        <w:ind w:left="40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О: Метод локтя показывает, что K=4 — точка перегиба: при переходе с 3 на 4 кластера inertia снижается на 22%, с 4 на 5 — уже только на 7%. Кроме того, K=4 даёт бизнес-интерпретируемые сегменты: Power, Growth, Casual, Dormant — это реальные архетипы поведения, а не артефакты модели.</w:t>
      </w:r>
    </w:p>
    <w:p>
      <w:pPr>
        <w:spacing w:before="200" w:after="80"/>
        <w:ind w:left="200"/>
      </w:pPr>
      <w:r>
        <w:rPr>
          <w:rFonts w:ascii="Arial" w:cs="Arial" w:eastAsia="Arial" w:hAnsi="Arial"/>
          <w:b/>
          <w:bCs/>
          <w:color w:val="0D3D6B"/>
          <w:sz w:val="22"/>
          <w:szCs w:val="22"/>
        </w:rPr>
        <w:t xml:space="preserve">В: Как вы учитывали сезонность в когортном анализе?</w:t>
      </w:r>
    </w:p>
    <w:p>
      <w:pPr>
        <w:spacing w:after="200"/>
        <w:ind w:left="40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О: Анализ охватывает 12 месячных когорт, поэтому сезонные эффекты равномерно распределены по всему периоду. Дополнительно: step-change виден именно на границе Sep 2024 — месяц запуска фичи, — а не на произвольной дате, что подтверждает причинно-следственную связь.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D3D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891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2026-03-17T20:29:25.040Z</dcterms:created>
  <dcterms:modified xsi:type="dcterms:W3CDTF">2026-03-17T20:29:25.041Z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