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0D9488"/>
          <w:spacing w:val="120"/>
          <w:sz w:val="48"/>
          <w:szCs w:val="48"/>
        </w:rPr>
        <w:t xml:space="preserve">VOLTA NEOBANK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Product Analytics Portfolio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475569"/>
          <w:sz w:val="24"/>
          <w:szCs w:val="24"/>
        </w:rPr>
        <w:t xml:space="preserve">Доклад для публичного выступления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Воронка · A/B-тест · Retention · Сегментация пользователей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36"/>
                <w:szCs w:val="36"/>
              </w:rPr>
              <w:t xml:space="preserve">+5.5pp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Рост активации</w:t>
            </w:r>
          </w:p>
        </w:tc>
        <w:tc>
          <w:tcPr>
            <w:tcW w:type="dxa" w:w="234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36"/>
                <w:szCs w:val="36"/>
              </w:rPr>
              <w:t xml:space="preserve">+30%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Прирост LTV</w:t>
            </w:r>
          </w:p>
        </w:tc>
        <w:tc>
          <w:tcPr>
            <w:tcW w:type="dxa" w:w="234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36"/>
                <w:szCs w:val="36"/>
              </w:rPr>
              <w:t xml:space="preserve">€480K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Выручка / год</w:t>
            </w:r>
          </w:p>
        </w:tc>
        <w:tc>
          <w:tcPr>
            <w:tcW w:type="dxa" w:w="234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36"/>
                <w:szCs w:val="36"/>
              </w:rPr>
              <w:t xml:space="preserve">9.6×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ROI на €50K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0D9488" w:sz="4" w:space="1"/>
        </w:pBdr>
        <w:spacing w:before="200"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Как пользоваться этим документом</w:t>
      </w:r>
    </w:p>
    <w:p>
      <w:pPr>
        <w:spacing w:before="80" w:after="80" w:line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Документ структурирован в точном соответствии со слайдами презентации. Каждый раздел — это один смысловой блок выступления. Предполагаемое время доклада: 20–25 минут. Пометки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[ </w:t>
      </w:r>
      <w:r>
        <w:rPr>
          <w:rFonts w:ascii="Arial" w:cs="Arial" w:eastAsia="Arial" w:hAnsi="Arial"/>
          <w:i/>
          <w:iCs/>
          <w:color w:val="F59E0B"/>
          <w:sz w:val="20"/>
          <w:szCs w:val="20"/>
        </w:rPr>
        <w:t xml:space="preserve">Пауза. Дать аудитории осмыслить цифру.</w:t>
      </w: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 ]</w:t>
      </w:r>
    </w:p>
    <w:p>
      <w:pPr>
        <w:spacing w:before="80" w:after="80" w:line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— это подсказки докладчику, которые помогут выдержать темп и акцентировать ключевые моменты.</w:t>
      </w:r>
    </w:p>
    <w:p>
      <w:pPr>
        <w:spacing w:before="60" w:after="60"/>
      </w:pPr>
      <w:r>
        <w:t xml:space="preserve"/>
      </w:r>
    </w:p>
    <w:p>
      <w:pPr>
        <w:pBdr>
          <w:bottom w:val="single" w:color="0D9488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Вступление — О чём этот доклад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[ </w:t>
      </w:r>
      <w:r>
        <w:rPr>
          <w:rFonts w:ascii="Arial" w:cs="Arial" w:eastAsia="Arial" w:hAnsi="Arial"/>
          <w:i/>
          <w:iCs/>
          <w:color w:val="F59E0B"/>
          <w:sz w:val="20"/>
          <w:szCs w:val="20"/>
        </w:rPr>
        <w:t xml:space="preserve">Слайд 1 — Обложка. ~1 мин.</w:t>
      </w: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 ]</w:t>
      </w:r>
    </w:p>
    <w:p>
      <w:pPr>
        <w:spacing w:before="60" w:after="60"/>
      </w:pPr>
      <w:r>
        <w:t xml:space="preserve"/>
      </w:r>
    </w:p>
    <w:p>
      <w:pPr>
        <w:spacing w:before="80" w:after="80" w:line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Добрый день. Меня зовут [имя], и сегодня я представлю портфолио из четырёх взаимосвязанных аналитических проектов, выполненных для Volta Neobank — мобильного необанка, работающего на рынке Восточной Европы в сегменте 18–44 лет.</w:t>
      </w:r>
    </w:p>
    <w:p>
      <w:pPr>
        <w:spacing w:before="60" w:after="60"/>
      </w:pPr>
      <w:r>
        <w:t xml:space="preserve"/>
      </w:r>
    </w:p>
    <w:p>
      <w:pPr>
        <w:spacing w:before="80" w:after="80" w:line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Эти четыре проекта — не просто набор задач, это единый цикл работы продуктового аналитика: от обнаружения проблемы — до её устранения и монетизации результата.</w:t>
      </w:r>
    </w:p>
    <w:p>
      <w:pPr>
        <w:spacing w:before="60" w:after="60"/>
      </w:pPr>
      <w:r>
        <w:t xml:space="preserve"/>
      </w:r>
    </w:p>
    <w:p>
      <w:pPr>
        <w:pBdr>
          <w:left w:val="single" w:color="0D9488" w:sz="12" w:space="10"/>
        </w:pBdr>
        <w:shd w:fill="F0FDFA" w:val="clear"/>
        <w:spacing w:before="180" w:after="180"/>
        <w:ind w:left="360" w:right="360"/>
      </w:pPr>
      <w:r>
        <w:rPr>
          <w:rFonts w:ascii="Arial" w:cs="Arial" w:eastAsia="Arial" w:hAnsi="Arial"/>
          <w:i/>
          <w:iCs/>
          <w:color w:val="0F172A"/>
          <w:sz w:val="22"/>
          <w:szCs w:val="22"/>
        </w:rPr>
        <w:t xml:space="preserve">Discover → Validate → Measure → Optimize — именно в таком порядке мы будем двигаться сегодня.</w:t>
      </w:r>
    </w:p>
    <w:p>
      <w:pPr>
        <w:spacing w:before="60" w:after="60"/>
      </w:pPr>
      <w:r>
        <w:t xml:space="preserve"/>
      </w:r>
    </w:p>
    <w:p>
      <w:pPr>
        <w:spacing w:before="80" w:after="80" w:line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По итогам всех четырёх работ мы выйдем на совокупный экономический эффект в €480 тысяч годовой выручки при инвестициях €50 тысяч — то есть ROI 9.6×.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[ </w:t>
      </w:r>
      <w:r>
        <w:rPr>
          <w:rFonts w:ascii="Arial" w:cs="Arial" w:eastAsia="Arial" w:hAnsi="Arial"/>
          <w:i/>
          <w:iCs/>
          <w:color w:val="F59E0B"/>
          <w:sz w:val="20"/>
          <w:szCs w:val="20"/>
        </w:rPr>
        <w:t xml:space="preserve">Пауза. Убедитесь, что аудитория зафиксировала цифру 9.6×.</w:t>
      </w: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 ]</w:t>
      </w:r>
    </w:p>
    <w:p>
      <w:pPr>
        <w:spacing w:before="60" w:after="60"/>
      </w:pPr>
      <w:r>
        <w:t xml:space="preserve"/>
      </w:r>
    </w:p>
    <w:p>
      <w:pPr>
        <w:pBdr>
          <w:bottom w:val="single" w:color="0D9488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Executive Summary — Взгляд сверху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[ </w:t>
      </w:r>
      <w:r>
        <w:rPr>
          <w:rFonts w:ascii="Arial" w:cs="Arial" w:eastAsia="Arial" w:hAnsi="Arial"/>
          <w:i/>
          <w:iCs/>
          <w:color w:val="F59E0B"/>
          <w:sz w:val="20"/>
          <w:szCs w:val="20"/>
        </w:rPr>
        <w:t xml:space="preserve">Слайд 2 — Executive Summary. ~2 мин.</w:t>
      </w: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 ]</w:t>
      </w:r>
    </w:p>
    <w:p>
      <w:pPr>
        <w:spacing w:before="60" w:after="60"/>
      </w:pPr>
      <w:r>
        <w:t xml:space="preserve"/>
      </w:r>
    </w:p>
    <w:p>
      <w:pPr>
        <w:spacing w:before="80" w:after="80" w:line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Прежде чем нырять в детали, давайте зафиксируем общую картину. На слайде вы видите пять ключевых метрик, которые суммируют весь наш путь: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36"/>
                <w:szCs w:val="36"/>
              </w:rPr>
              <w:t xml:space="preserve">+4.82pp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Лифт KYC (A/B)</w:t>
            </w:r>
          </w:p>
        </w:tc>
        <w:tc>
          <w:tcPr>
            <w:tcW w:type="dxa" w:w="1872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36"/>
                <w:szCs w:val="36"/>
              </w:rPr>
              <w:t xml:space="preserve">+12pp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Удержание M1</w:t>
            </w:r>
          </w:p>
        </w:tc>
        <w:tc>
          <w:tcPr>
            <w:tcW w:type="dxa" w:w="1872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36"/>
                <w:szCs w:val="36"/>
              </w:rPr>
              <w:t xml:space="preserve">+30%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LTV юзера</w:t>
            </w:r>
          </w:p>
        </w:tc>
        <w:tc>
          <w:tcPr>
            <w:tcW w:type="dxa" w:w="1872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36"/>
                <w:szCs w:val="36"/>
              </w:rPr>
              <w:t xml:space="preserve">€480K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Выручка/год</w:t>
            </w:r>
          </w:p>
        </w:tc>
        <w:tc>
          <w:tcPr>
            <w:tcW w:type="dxa" w:w="1872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36"/>
                <w:szCs w:val="36"/>
              </w:rPr>
              <w:t xml:space="preserve">9.6×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ROI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 w:line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Ниже на том же слайде — схема продуктового цикла. Четыре карточки, четыре проекта, одна логика: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DISCOVER →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P1: Funnel Analysis — нашли узкое место. KYC-верификация теряет 56.6% пользователей.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VALIDATE →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P2: A/B Testing — проверили гипотезу. Прогресс-бар дал +4.82pp, p &lt; 0.0001.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MEASURE →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P3: Retention &amp; LTV — измерили долгосрочный эффект. +30% LTV, +€220K в год.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OPTIMIZE →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P4: Segmentation — нашли, кому и что продавать. Сегментация → €40K/мес.</w:t>
      </w:r>
    </w:p>
    <w:p>
      <w:pPr>
        <w:spacing w:before="60" w:after="60"/>
      </w:pPr>
      <w:r>
        <w:t xml:space="preserve"/>
      </w:r>
    </w:p>
    <w:p>
      <w:pPr>
        <w:pBdr>
          <w:left w:val="single" w:color="0D9488" w:sz="12" w:space="10"/>
        </w:pBdr>
        <w:shd w:fill="F0FDFA" w:val="clear"/>
        <w:spacing w:before="180" w:after="180"/>
        <w:ind w:left="360" w:right="360"/>
      </w:pPr>
      <w:r>
        <w:rPr>
          <w:rFonts w:ascii="Arial" w:cs="Arial" w:eastAsia="Arial" w:hAnsi="Arial"/>
          <w:i/>
          <w:iCs/>
          <w:color w:val="0F172A"/>
          <w:sz w:val="22"/>
          <w:szCs w:val="22"/>
        </w:rPr>
        <w:t xml:space="preserve">Каждый следующий проект строился на выводах предыдущего. Это не случайный набор задач — это методология.</w:t>
      </w:r>
    </w:p>
    <w:p>
      <w:pPr>
        <w:spacing w:before="60" w:after="60"/>
      </w:pPr>
      <w:r>
        <w:t xml:space="preserve"/>
      </w:r>
    </w:p>
    <w:p>
      <w:pPr>
        <w:pBdr>
          <w:bottom w:val="single" w:color="0D9488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Проект 1: Анализ воронки онбординга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[ </w:t>
      </w:r>
      <w:r>
        <w:rPr>
          <w:rFonts w:ascii="Arial" w:cs="Arial" w:eastAsia="Arial" w:hAnsi="Arial"/>
          <w:i/>
          <w:iCs/>
          <w:color w:val="F59E0B"/>
          <w:sz w:val="20"/>
          <w:szCs w:val="20"/>
        </w:rPr>
        <w:t xml:space="preserve">Слайды 3–7. ~5 мин.</w:t>
      </w: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 ]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Контекст и проблема</w:t>
      </w:r>
    </w:p>
    <w:p>
      <w:pPr>
        <w:spacing w:before="80" w:after="80" w:line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Ситуация: стоимость привлечения пользователя выросла на 34% год к году, при этом конверсия в первую транзакцию стоит на месте — около 13%. Где деньги? Уходят на каждом этапе воронки, но мы не знаем, на каком именно теряем больше всего и сколько это стоит бизнесу.</w:t>
      </w:r>
    </w:p>
    <w:p>
      <w:pPr>
        <w:spacing w:before="60" w:after="60"/>
      </w:pPr>
      <w:r>
        <w:t xml:space="preserve"/>
      </w:r>
    </w:p>
    <w:p>
      <w:pPr>
        <w:spacing w:before="80" w:after="80" w:line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Перед нами стояли четыре вопроса: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Где точно происходит самый крупный отвал?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Какие сегменты пользователей отваливаются чаще?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Какой денежный ущерб от каждого отвала?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Что даст наибольший ROI при исправлении?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Воронка: шесть ступеней</w:t>
      </w:r>
    </w:p>
    <w:p>
      <w:pPr>
        <w:spacing w:before="80" w:after="80" w:line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Мы проанализировали 50 000 установок приложения по шести ступеням онбординга: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c>
          <w:tcPr>
            <w:tcW w:type="dxa" w:w="3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от установок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Польз.</w:t>
            </w:r>
          </w:p>
        </w:tc>
        <w:tc>
          <w:tcPr>
            <w:tcW w:type="dxa" w:w="21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Шаговая конв.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Установка приложения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50 000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Регистрация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73.2%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36 600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73.2%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Начало KYC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49.2%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24 600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67.2%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Завершение KYC ⚠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27.9%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13 950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56.6% ← МИНИМУМ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Заказ карты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20.0%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10 000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71.7%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Первая транзакция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12.8%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6 400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64.0%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[ </w:t>
      </w:r>
      <w:r>
        <w:rPr>
          <w:rFonts w:ascii="Arial" w:cs="Arial" w:eastAsia="Arial" w:hAnsi="Arial"/>
          <w:i/>
          <w:iCs/>
          <w:color w:val="F59E0B"/>
          <w:sz w:val="20"/>
          <w:szCs w:val="20"/>
        </w:rPr>
        <w:t xml:space="preserve">Пауза. Укажите на строку KYC Complete. "Вот он — главный виновник."</w:t>
      </w: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 ]</w:t>
      </w:r>
    </w:p>
    <w:p>
      <w:pPr>
        <w:pBdr>
          <w:left w:val="single" w:color="0D9488" w:sz="12" w:space="10"/>
        </w:pBdr>
        <w:shd w:fill="F0FDFA" w:val="clear"/>
        <w:spacing w:before="180" w:after="180"/>
        <w:ind w:left="360" w:right="360"/>
      </w:pPr>
      <w:r>
        <w:rPr>
          <w:rFonts w:ascii="Arial" w:cs="Arial" w:eastAsia="Arial" w:hAnsi="Arial"/>
          <w:i/>
          <w:iCs/>
          <w:color w:val="0F172A"/>
          <w:sz w:val="22"/>
          <w:szCs w:val="22"/>
        </w:rPr>
        <w:t xml:space="preserve">KYC Complete — самый слабый шаг воронки: 56.6% конверсии. Это узкое место поглощает больше потенциальных клиентов, чем любой другой этап.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Сегментация: каналы, устройства, возраст</w:t>
      </w:r>
    </w:p>
    <w:p>
      <w:pPr>
        <w:spacing w:before="80" w:after="80" w:line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Мы разложили воронку по трём измерениям, чтобы найти дополнительные инсайты:</w:t>
      </w:r>
    </w:p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По каналу привлечения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Referral: лучший end-to-end — 19.2% activation. Самые качественные пользователи.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Paid Social: худший — 10.5%. Разница в 8.7pp при сопоставимых затратах на привлечение.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Разрыв между Referral и Paid Social сохраняется на каждом шаге воронки.</w:t>
      </w:r>
    </w:p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По устройству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iOS vs Android: разрыв 3.6pp в activation rate на каждом шаге.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Причина — скорее всего UX-баги или скорость загрузки на Android. Нужен отдельный QA-спринт.</w:t>
      </w:r>
    </w:p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По возрасту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Группа 18–24: 62% KYC completion. Группа 45+: 45% — разрыв 17pp.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Пожилые пользователи спотыкаются на загрузке фото документов. Им нужна реалтайм-подсказка.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Рекомендации по P1</w:t>
      </w:r>
    </w:p>
    <w:p>
      <w:pPr>
        <w:spacing w:before="80" w:after="80" w:line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По итогам анализа воронки мы сформулировали четыре рекомендации, приоритизированных по соотношению эффекта и затрат: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🔴 HIGH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KYC Progress Bar — прогресс-индикатор с шагами. Цель: +5pp, эффект ~€340K/год. → Этот пункт переходит в P2.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🔴 HIGH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Card Activation Nudge — пуш + €2 кэшбэк при получении карты. Цель: +3pp на шаге Карта→Tx.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🟠 HIGH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Simplified Registration — убрать поле телефона. Конверсия регистрации с 73% → ~80%.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🟢 MED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Scale Referral Program — €10 за реферал + переброс бюджета с Paid Social.</w:t>
      </w:r>
    </w:p>
    <w:p>
      <w:pPr>
        <w:spacing w:before="60" w:after="60"/>
      </w:pPr>
      <w:r>
        <w:t xml:space="preserve"/>
      </w:r>
    </w:p>
    <w:p>
      <w:pPr>
        <w:pBdr>
          <w:left w:val="single" w:color="0D9488" w:sz="12" w:space="10"/>
        </w:pBdr>
        <w:shd w:fill="F0FDFA" w:val="clear"/>
        <w:spacing w:before="180" w:after="180"/>
        <w:ind w:left="360" w:right="360"/>
      </w:pPr>
      <w:r>
        <w:rPr>
          <w:rFonts w:ascii="Arial" w:cs="Arial" w:eastAsia="Arial" w:hAnsi="Arial"/>
          <w:i/>
          <w:iCs/>
          <w:color w:val="0F172A"/>
          <w:sz w:val="22"/>
          <w:szCs w:val="22"/>
        </w:rPr>
        <w:t xml:space="preserve">Совокупный эффект всех четырёх мер: конверсия конца-в-конец 13% → 18.5%, +€400K в год.</w:t>
      </w:r>
    </w:p>
    <w:p>
      <w:pPr>
        <w:spacing w:before="60" w:after="60"/>
      </w:pPr>
      <w:r>
        <w:t xml:space="preserve"/>
      </w:r>
    </w:p>
    <w:p>
      <w:pPr>
        <w:pBdr>
          <w:bottom w:val="single" w:color="0D9488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Проект 2: A/B-тест — KYC Progress Bar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[ </w:t>
      </w:r>
      <w:r>
        <w:rPr>
          <w:rFonts w:ascii="Arial" w:cs="Arial" w:eastAsia="Arial" w:hAnsi="Arial"/>
          <w:i/>
          <w:iCs/>
          <w:color w:val="F59E0B"/>
          <w:sz w:val="20"/>
          <w:szCs w:val="20"/>
        </w:rPr>
        <w:t xml:space="preserve">Слайды 8–10. ~4 мин.</w:t>
      </w: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 ]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Дизайн эксперимента</w:t>
      </w:r>
    </w:p>
    <w:p>
      <w:pPr>
        <w:spacing w:before="80" w:after="80" w:line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Проект 1 указал нам на главного «виновника» — шаг KYC Completion. Теперь задача — проверить гипотезу: поможет ли прогресс-бар пользователю дойти до конца?</w:t>
      </w:r>
    </w:p>
    <w:p>
      <w:pPr>
        <w:spacing w:before="60" w:after="60"/>
      </w:pPr>
      <w:r>
        <w:t xml:space="preserve"/>
      </w:r>
    </w:p>
    <w:p>
      <w:pPr>
        <w:spacing w:before="80" w:after="80" w:line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Параметры эксперимента: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Тип: рандомизированный контролируемый эксперимент на уровне пользователя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Сплит: 50/50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Длительность: 28 дней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MDE (минимально детектируемый эффект): +5pp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Статистическая мощность: 80%, уровень значимости α = 0.05</w:t>
      </w:r>
    </w:p>
    <w:p>
      <w:pPr>
        <w:spacing w:before="60" w:after="60"/>
      </w:pPr>
      <w:r>
        <w:t xml:space="preserve"/>
      </w:r>
    </w:p>
    <w:p>
      <w:pPr>
        <w:spacing w:before="80" w:after="80" w:line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Контрольная группа видела прежний KYC-поток — без каких-либо подсказок о количестве шагов. Тестовая группа — тот же поток, но с прогресс-баром вверху: «Шаг 1 из 4», галочки на пройденных шагах.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[ </w:t>
      </w:r>
      <w:r>
        <w:rPr>
          <w:rFonts w:ascii="Arial" w:cs="Arial" w:eastAsia="Arial" w:hAnsi="Arial"/>
          <w:i/>
          <w:iCs/>
          <w:color w:val="F59E0B"/>
          <w:sz w:val="20"/>
          <w:szCs w:val="20"/>
        </w:rPr>
        <w:t xml:space="preserve">Пауза. "Это звучит просто — и это намеренно. Гипотеза: неопределённость убивает мотивацию."</w:t>
      </w: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 ]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Результаты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36"/>
                <w:szCs w:val="36"/>
              </w:rPr>
              <w:t xml:space="preserve">56.6%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Control (baseline)</w:t>
            </w:r>
          </w:p>
        </w:tc>
        <w:tc>
          <w:tcPr>
            <w:tcW w:type="dxa" w:w="234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36"/>
                <w:szCs w:val="36"/>
              </w:rPr>
              <w:t xml:space="preserve">61.4%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Treatment</w:t>
            </w:r>
          </w:p>
        </w:tc>
        <w:tc>
          <w:tcPr>
            <w:tcW w:type="dxa" w:w="234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36"/>
                <w:szCs w:val="36"/>
              </w:rPr>
              <w:t xml:space="preserve">+4.82pp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Абсолютный лифт</w:t>
            </w:r>
          </w:p>
        </w:tc>
        <w:tc>
          <w:tcPr>
            <w:tcW w:type="dxa" w:w="2340"/>
            <w:tcBorders>
              <w:top w:val="single" w:color="22C55E" w:sz="1"/>
              <w:left w:val="single" w:color="22C55E" w:sz="1"/>
              <w:bottom w:val="single" w:color="22C55E" w:sz="1"/>
              <w:right w:val="single" w:color="22C55E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36"/>
                <w:szCs w:val="36"/>
              </w:rPr>
              <w:t xml:space="preserve">&lt;0.0001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p-value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 w:line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Статистические детали: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Относительный лифт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+8.5%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20"/>
                <w:szCs w:val="20"/>
              </w:rPr>
              <w:t xml:space="preserve">Важно для масштабирования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Z-Score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4.67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20"/>
                <w:szCs w:val="20"/>
              </w:rPr>
              <w:t xml:space="preserve">Очень высокое значение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95% доверительный интервал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[+2.1%, +7.5%]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20"/>
                <w:szCs w:val="20"/>
              </w:rPr>
              <w:t xml:space="preserve">Не включает 0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Chi-Square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21.8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20"/>
                <w:szCs w:val="20"/>
              </w:rPr>
              <w:t xml:space="preserve">Подтверждает значимость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Проверка SRM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✅ Чистая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20"/>
                <w:szCs w:val="20"/>
              </w:rPr>
              <w:t xml:space="preserve">Нет дисбаланса выборки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Балансировка ковариат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✅ Подтверждена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20"/>
                <w:szCs w:val="20"/>
              </w:rPr>
              <w:t xml:space="preserve">Группы сопоставимы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0D9488" w:sz="12" w:space="10"/>
        </w:pBdr>
        <w:shd w:fill="F0FDFA" w:val="clear"/>
        <w:spacing w:before="180" w:after="180"/>
        <w:ind w:left="360" w:right="360"/>
      </w:pPr>
      <w:r>
        <w:rPr>
          <w:rFonts w:ascii="Arial" w:cs="Arial" w:eastAsia="Arial" w:hAnsi="Arial"/>
          <w:i/>
          <w:iCs/>
          <w:color w:val="0F172A"/>
          <w:sz w:val="22"/>
          <w:szCs w:val="22"/>
        </w:rPr>
        <w:t xml:space="preserve">Нулевая гипотеза отвергается. Фича должна быть выкачена на 100% пользователей.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Анализ неоднородных эффектов (HTE)</w:t>
      </w:r>
    </w:p>
    <w:p>
      <w:pPr>
        <w:spacing w:before="80" w:after="80" w:line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Лифт не одинаковый для всех сегментов — это важно для дальнейшего продуктового планирования: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Возраст 35–44: максимальный лифт +8.4pp — прогресс-бар особенно помогает тем, кто не уверен в процессе.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Android: +7.9pp — закрывает часть Android-гэпа, выявленного в P1.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Общий: +4.8pp — немного ниже MDE, но статистически значимо.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iOS: +3.9pp, возраст 18–24: +3.3pp — молодые и iOS-пользователи и без того лучше конвертируются.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Возраст 45+: +2.2pp — не значимо. Этому сегменту нужно другое решение (видеоинструкция / чат-поддержка).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[ </w:t>
      </w:r>
      <w:r>
        <w:rPr>
          <w:rFonts w:ascii="Arial" w:cs="Arial" w:eastAsia="Arial" w:hAnsi="Arial"/>
          <w:i/>
          <w:iCs/>
          <w:color w:val="F59E0B"/>
          <w:sz w:val="20"/>
          <w:szCs w:val="20"/>
        </w:rPr>
        <w:t xml:space="preserve">Акцент: "7 из 11 сегментов показали статистически значимый лифт."</w:t>
      </w: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 ]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Бизнес-импакт и решение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36"/>
                <w:szCs w:val="36"/>
              </w:rPr>
              <w:t xml:space="preserve">1 190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Доп. KYC/мес.</w:t>
            </w:r>
          </w:p>
        </w:tc>
        <w:tc>
          <w:tcPr>
            <w:tcW w:type="dxa" w:w="234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36"/>
                <w:szCs w:val="36"/>
              </w:rPr>
              <w:t xml:space="preserve">+543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Доп. активаций</w:t>
            </w:r>
          </w:p>
        </w:tc>
        <w:tc>
          <w:tcPr>
            <w:tcW w:type="dxa" w:w="234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36"/>
                <w:szCs w:val="36"/>
              </w:rPr>
              <w:t xml:space="preserve">+€46K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Выручка/мес.</w:t>
            </w:r>
          </w:p>
        </w:tc>
        <w:tc>
          <w:tcPr>
            <w:tcW w:type="dxa" w:w="234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36"/>
                <w:szCs w:val="36"/>
              </w:rPr>
              <w:t xml:space="preserve">+€551K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Выручка/год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0D9488" w:sz="12" w:space="10"/>
        </w:pBdr>
        <w:shd w:fill="F0FDFA" w:val="clear"/>
        <w:spacing w:before="180" w:after="180"/>
        <w:ind w:left="360" w:right="360"/>
      </w:pPr>
      <w:r>
        <w:rPr>
          <w:rFonts w:ascii="Arial" w:cs="Arial" w:eastAsia="Arial" w:hAnsi="Arial"/>
          <w:i/>
          <w:iCs/>
          <w:color w:val="0F172A"/>
          <w:sz w:val="22"/>
          <w:szCs w:val="22"/>
        </w:rPr>
        <w:t xml:space="preserve">ROI: 37× стоимость разработки окупается в первый год. Решение: выкатить на 100% пользователей. Для сегмента 45+ — разработать отдельный эксперимент.</w:t>
      </w:r>
    </w:p>
    <w:p>
      <w:pPr>
        <w:spacing w:before="60" w:after="60"/>
      </w:pPr>
      <w:r>
        <w:t xml:space="preserve"/>
      </w:r>
    </w:p>
    <w:p>
      <w:pPr>
        <w:pBdr>
          <w:bottom w:val="single" w:color="0D9488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Проект 3: Retention и когортный анализ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[ </w:t>
      </w:r>
      <w:r>
        <w:rPr>
          <w:rFonts w:ascii="Arial" w:cs="Arial" w:eastAsia="Arial" w:hAnsi="Arial"/>
          <w:i/>
          <w:iCs/>
          <w:color w:val="F59E0B"/>
          <w:sz w:val="20"/>
          <w:szCs w:val="20"/>
        </w:rPr>
        <w:t xml:space="preserve">Слайды 11–13. ~4 мин.</w:t>
      </w: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 ]</w:t>
      </w:r>
    </w:p>
    <w:p>
      <w:pPr>
        <w:spacing w:before="60" w:after="60"/>
      </w:pPr>
      <w:r>
        <w:t xml:space="preserve"/>
      </w:r>
    </w:p>
    <w:p>
      <w:pPr>
        <w:spacing w:before="80" w:after="80" w:line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Мы выкатили прогресс-бар. A/B-тест показал краткосрочный лифт. Но хватит ли этого? Мы задали следующий вопрос: сохраняется ли улучшение в долгосрочном удержании? И как это влияет на LTV?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Шаговое изменение retention после фикса (сен. 2024)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36"/>
                <w:szCs w:val="36"/>
              </w:rPr>
              <w:t xml:space="preserve">~52%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M1 до фикса</w:t>
            </w:r>
          </w:p>
        </w:tc>
        <w:tc>
          <w:tcPr>
            <w:tcW w:type="dxa" w:w="234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36"/>
                <w:szCs w:val="36"/>
              </w:rPr>
              <w:t xml:space="preserve">~64%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M1 после фикса</w:t>
            </w:r>
          </w:p>
        </w:tc>
        <w:tc>
          <w:tcPr>
            <w:tcW w:type="dxa" w:w="234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36"/>
                <w:szCs w:val="36"/>
              </w:rPr>
              <w:t xml:space="preserve">+12pp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Лифт M1</w:t>
            </w:r>
          </w:p>
        </w:tc>
        <w:tc>
          <w:tcPr>
            <w:tcW w:type="dxa" w:w="234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36"/>
                <w:szCs w:val="36"/>
              </w:rPr>
              <w:t xml:space="preserve">17%→26%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M6: до/после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 w:line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Когорты, активированные после внедрения прогресс-бара, удерживаются значительно лучше на всех временных горизонтах — от M1 до M11. Причина: пользователи, прошедшие KYC без стресса, формируют более прочную привязанность к продукту уже в первые дни.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[ </w:t>
      </w:r>
      <w:r>
        <w:rPr>
          <w:rFonts w:ascii="Arial" w:cs="Arial" w:eastAsia="Arial" w:hAnsi="Arial"/>
          <w:i/>
          <w:iCs/>
          <w:color w:val="F59E0B"/>
          <w:sz w:val="20"/>
          <w:szCs w:val="20"/>
        </w:rPr>
        <w:t xml:space="preserve">"Это ключевой инсайт: улучшение онбординга — это не только больше активаций сегодня, но и больше лояльных пользователей через полгода."</w:t>
      </w: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 ]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Retention по каналам и тарифным планам</w:t>
      </w:r>
    </w:p>
    <w:p>
      <w:pPr>
        <w:spacing w:before="80" w:after="80" w:line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Канальный анализ подтверждает выводы P1: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Referral: M6 = 28% — лучший канал на всех горизонтах.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Organic: M6 = 24%.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Paid Social: M6 = 17% — значительно хуже, несмотря на сопоставимые затраты.</w:t>
      </w:r>
    </w:p>
    <w:p>
      <w:pPr>
        <w:spacing w:before="60" w:after="60"/>
      </w:pPr>
      <w:r>
        <w:t xml:space="preserve"/>
      </w:r>
    </w:p>
    <w:p>
      <w:pPr>
        <w:spacing w:before="80" w:after="80" w:line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Но главный инсайт этого раздела — разрыв между тарифными планами:</w:t>
      </w:r>
    </w:p>
    <w:p>
      <w:pPr>
        <w:pBdr>
          <w:left w:val="single" w:color="0D9488" w:sz="12" w:space="10"/>
        </w:pBdr>
        <w:shd w:fill="F0FDFA" w:val="clear"/>
        <w:spacing w:before="180" w:after="180"/>
        <w:ind w:left="360" w:right="360"/>
      </w:pPr>
      <w:r>
        <w:rPr>
          <w:rFonts w:ascii="Arial" w:cs="Arial" w:eastAsia="Arial" w:hAnsi="Arial"/>
          <w:i/>
          <w:iCs/>
          <w:color w:val="0F172A"/>
          <w:sz w:val="22"/>
          <w:szCs w:val="22"/>
        </w:rPr>
        <w:t xml:space="preserve">Premium-пользователи: M6 retention = 55%. Free-пользователи: M6 = 18%. Разрыв — 3×. Premium — это #1 драйвер долгосрочного удержания, опережающий даже разницу между каналами.</w:t>
      </w:r>
    </w:p>
    <w:p>
      <w:pPr>
        <w:spacing w:before="80" w:after="80" w:line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Стратегический вывод: нужно строить воронку апгрейда до Premium в M1–M2, пока пользователь ещё активен и мотивирован.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LTV-проекция: бизнес-эффект KYC-фикса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2200"/>
        <w:gridCol w:w="1460"/>
      </w:tblGrid>
      <w:tr>
        <w:tc>
          <w:tcPr>
            <w:tcW w:type="dxa" w:w="35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Сегмент</w:t>
            </w:r>
          </w:p>
        </w:tc>
        <w:tc>
          <w:tcPr>
            <w:tcW w:type="dxa" w:w="2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LTV до фикса</w:t>
            </w:r>
          </w:p>
        </w:tc>
        <w:tc>
          <w:tcPr>
            <w:tcW w:type="dxa" w:w="2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LTV после фикса</w:t>
            </w:r>
          </w:p>
        </w:tc>
        <w:tc>
          <w:tcPr>
            <w:tcW w:type="dxa" w:w="14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Рост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Free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€11.8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€15.4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+30%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Premium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€31.2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€40.0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+28%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0D9488" w:sz="12" w:space="10"/>
        </w:pBdr>
        <w:shd w:fill="F0FDFA" w:val="clear"/>
        <w:spacing w:before="180" w:after="180"/>
        <w:ind w:left="360" w:right="360"/>
      </w:pPr>
      <w:r>
        <w:rPr>
          <w:rFonts w:ascii="Arial" w:cs="Arial" w:eastAsia="Arial" w:hAnsi="Arial"/>
          <w:i/>
          <w:iCs/>
          <w:color w:val="0F172A"/>
          <w:sz w:val="22"/>
          <w:szCs w:val="22"/>
        </w:rPr>
        <w:t xml:space="preserve">Каждое улучшение активации накапливается на 12-месячном горизонте. Годовой прирост выручки только от LTV-эффекта: +€220K.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[ </w:t>
      </w:r>
      <w:r>
        <w:rPr>
          <w:rFonts w:ascii="Arial" w:cs="Arial" w:eastAsia="Arial" w:hAnsi="Arial"/>
          <w:i/>
          <w:iCs/>
          <w:color w:val="F59E0B"/>
          <w:sz w:val="20"/>
          <w:szCs w:val="20"/>
        </w:rPr>
        <w:t xml:space="preserve">"Мы не просто улучшили форму — мы улучшили продукт."</w:t>
      </w: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 ]</w:t>
      </w:r>
    </w:p>
    <w:p>
      <w:pPr>
        <w:spacing w:before="60" w:after="60"/>
      </w:pPr>
      <w:r>
        <w:t xml:space="preserve"/>
      </w:r>
    </w:p>
    <w:p>
      <w:pPr>
        <w:pBdr>
          <w:bottom w:val="single" w:color="0D9488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Проект 4: Сегментация пользователей и монетизация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[ </w:t>
      </w:r>
      <w:r>
        <w:rPr>
          <w:rFonts w:ascii="Arial" w:cs="Arial" w:eastAsia="Arial" w:hAnsi="Arial"/>
          <w:i/>
          <w:iCs/>
          <w:color w:val="F59E0B"/>
          <w:sz w:val="20"/>
          <w:szCs w:val="20"/>
        </w:rPr>
        <w:t xml:space="preserve">Слайды 14–16. ~4 мин.</w:t>
      </w: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 ]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Методология кластеризации</w:t>
      </w:r>
    </w:p>
    <w:p>
      <w:pPr>
        <w:spacing w:before="80" w:after="80" w:line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Имея данные о поведении активированных пользователей, мы применили K-Means кластеризацию на шести поведенческих признаках: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tx_count — количество транзакций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avg_tx_value — средний чек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savings_balance — остаток на сберегательном счёте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logins_per_week — частота входа в приложение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p2p_transfers — переводы между пользователями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tenure_days — срок жизни аккаунта</w:t>
      </w:r>
    </w:p>
    <w:p>
      <w:pPr>
        <w:spacing w:before="60" w:after="60"/>
      </w:pPr>
      <w:r>
        <w:t xml:space="preserve"/>
      </w:r>
    </w:p>
    <w:p>
      <w:pPr>
        <w:spacing w:before="80" w:after="80" w:line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Признаки стандартизированы через StandardScaler (mean=0, std=1) — обязательный шаг для алгоритмов, основанных на расстоянии. Оптимальное K=4 выбрано по методу «локтя»: добавление пятого кластера даёт менее 8% прироста инерции. PCA-визуализация (PC1+PC2, 62% дисперсии) подтвердила разделимость кластеров.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Четыре сегмента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1200"/>
        <w:gridCol w:w="1200"/>
        <w:gridCol w:w="1160"/>
        <w:gridCol w:w="2300"/>
      </w:tblGrid>
      <w:tr>
        <w:tc>
          <w:tcPr>
            <w:tcW w:type="dxa" w:w="25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Сегмент</w:t>
            </w:r>
          </w:p>
        </w:tc>
        <w:tc>
          <w:tcPr>
            <w:tcW w:type="dxa" w:w="1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Доля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ARPU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M6 Ret.</w:t>
            </w:r>
          </w:p>
        </w:tc>
        <w:tc>
          <w:tcPr>
            <w:tcW w:type="dxa" w:w="11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</w:t>
            </w:r>
          </w:p>
        </w:tc>
        <w:tc>
          <w:tcPr>
            <w:tcW w:type="dxa" w:w="23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Профиль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Power Users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8%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€22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58%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74%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Тяжёлые спендеры, ядро выручки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Growth Users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22%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€9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38%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32%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Активны, цель апгрейда на Premium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Casual Users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27%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€4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22%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8%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Низкая вовлечённость, нужны нёджи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Dormant Users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43%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€0.5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5%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2%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Старые аккаунты, win-back или offboard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Стратегия монетизации по сегментам</w:t>
      </w:r>
    </w:p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Power Users (8%) — VIP-программа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Эксклюзивный VIP-бейдж и приоритетная поддержка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Скидка на годовой план для закрепления лояльности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Персональная аналитика расходов</w:t>
      </w:r>
    </w:p>
    <w:p>
      <w:pPr>
        <w:spacing w:before="80" w:after="80" w:line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Цель: сохранить €22 ARPU, снизить churn риск.</w:t>
      </w:r>
    </w:p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Growth Users (22%) — апгрейд до Premium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Промпт цели накоплений + in-app уведомления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30 дней бесплатного Premium на 2-й месяц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Витрина функций: инвестиции, бюджетирование</w:t>
      </w:r>
    </w:p>
    <w:p>
      <w:pPr>
        <w:spacing w:before="80" w:after="80" w:line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Цель: конвертировать в Premium, потенциальный ARPU +€13.</w:t>
      </w:r>
    </w:p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Casual Users (27%) — реактивация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Упрощённый re-entry в 2 шага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Еженедельный email с аналитикой трат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Пробный доступ к Premium-функции без оплаты</w:t>
      </w:r>
    </w:p>
    <w:p>
      <w:pPr>
        <w:spacing w:before="80" w:after="80" w:line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Цель: повысить частоту транзакций, сдвинуть в сегмент Growth.</w:t>
      </w:r>
    </w:p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Dormant Users (43%) — win-back или offboarding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Email win-back + €5 кредит в приложении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Персональный хайлайт новых функций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Опция: приостановить аккаунт или удалить — снижает инфраструктурные расходы</w:t>
      </w:r>
    </w:p>
    <w:p>
      <w:pPr>
        <w:spacing w:before="60" w:after="60"/>
      </w:pPr>
      <w:r>
        <w:t xml:space="preserve"/>
      </w:r>
    </w:p>
    <w:p>
      <w:pPr>
        <w:pBdr>
          <w:left w:val="single" w:color="0D9488" w:sz="12" w:space="10"/>
        </w:pBdr>
        <w:shd w:fill="F0FDFA" w:val="clear"/>
        <w:spacing w:before="180" w:after="180"/>
        <w:ind w:left="360" w:right="360"/>
      </w:pPr>
      <w:r>
        <w:rPr>
          <w:rFonts w:ascii="Arial" w:cs="Arial" w:eastAsia="Arial" w:hAnsi="Arial"/>
          <w:i/>
          <w:iCs/>
          <w:color w:val="0F172A"/>
          <w:sz w:val="22"/>
          <w:szCs w:val="22"/>
        </w:rPr>
        <w:t xml:space="preserve">Совокупная монетизационная возможность: €40K в месяц, €480K в год при инвестициях в продуктовый маркетинг €50K.</w:t>
      </w:r>
    </w:p>
    <w:p>
      <w:pPr>
        <w:spacing w:before="60" w:after="60"/>
      </w:pPr>
      <w:r>
        <w:t xml:space="preserve"/>
      </w:r>
    </w:p>
    <w:p>
      <w:pPr>
        <w:pBdr>
          <w:bottom w:val="single" w:color="0D9488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Заключение — Замкнутый продуктовый цикл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[ </w:t>
      </w:r>
      <w:r>
        <w:rPr>
          <w:rFonts w:ascii="Arial" w:cs="Arial" w:eastAsia="Arial" w:hAnsi="Arial"/>
          <w:i/>
          <w:iCs/>
          <w:color w:val="F59E0B"/>
          <w:sz w:val="20"/>
          <w:szCs w:val="20"/>
        </w:rPr>
        <w:t xml:space="preserve">Слайд 17 — Capstone. ~2 мин.</w:t>
      </w: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 ]</w:t>
      </w:r>
    </w:p>
    <w:p>
      <w:pPr>
        <w:spacing w:before="60" w:after="60"/>
      </w:pPr>
      <w:r>
        <w:t xml:space="preserve"/>
      </w:r>
    </w:p>
    <w:p>
      <w:pPr>
        <w:spacing w:before="80" w:after="80" w:line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Позвольте подвести итог. Четыре проекта, которые я представил сегодня — это не независимые задачи. Это единая методология работы продуктового аналитика.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DISCOVER: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P1 — нашли, где теряем пользователей. Выявили KYC как главный bottleneck.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VALIDATE: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P2 — проверили конкретную гипотезу. Получили статистически значимый результат и уверенно выкатили фичу.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MEASURE: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P3 — измерили долгосрочный эффект. Убедились, что улучшение онбординга влияет на retention и LTV, а не только на краткосрочную конверсию.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OPTIMIZE: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P4 — оптимизировали монетизацию. Поняли, кто наши пользователи и как с каждым из них говорить на языке ценности.</w:t>
      </w:r>
    </w:p>
    <w:p>
      <w:pPr>
        <w:spacing w:before="60" w:after="60"/>
      </w:pPr>
      <w:r>
        <w:t xml:space="preserve"/>
      </w:r>
    </w:p>
    <w:p>
      <w:pPr>
        <w:spacing w:before="80" w:after="80" w:line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И цикл не заканчивается. Следующий шаг — снова Discover: наблюдать за тем, как новые сегменты реагируют на монетизационные кампании, находить новые точки роста и снова формулировать гипотезы.</w:t>
      </w:r>
    </w:p>
    <w:p>
      <w:pPr>
        <w:spacing w:before="60" w:after="60"/>
      </w:pPr>
      <w:r>
        <w:t xml:space="preserve"/>
      </w:r>
    </w:p>
    <w:p>
      <w:pPr>
        <w:pBdr>
          <w:left w:val="single" w:color="0D9488" w:sz="12" w:space="10"/>
        </w:pBdr>
        <w:shd w:fill="F0FDFA" w:val="clear"/>
        <w:spacing w:before="180" w:after="180"/>
        <w:ind w:left="360" w:right="360"/>
      </w:pPr>
      <w:r>
        <w:rPr>
          <w:rFonts w:ascii="Arial" w:cs="Arial" w:eastAsia="Arial" w:hAnsi="Arial"/>
          <w:i/>
          <w:iCs/>
          <w:color w:val="0F172A"/>
          <w:sz w:val="22"/>
          <w:szCs w:val="22"/>
        </w:rPr>
        <w:t xml:space="preserve">Итоговый ROI всего портфолио: +€480K годовой выручки при инвестициях €50K — это 9.6× возврат. Каждый из четырёх проектов вносит свою часть в этот результат, и ни один из них не работал бы так эффективно в изоляции.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[ </w:t>
      </w:r>
      <w:r>
        <w:rPr>
          <w:rFonts w:ascii="Arial" w:cs="Arial" w:eastAsia="Arial" w:hAnsi="Arial"/>
          <w:i/>
          <w:iCs/>
          <w:color w:val="F59E0B"/>
          <w:sz w:val="20"/>
          <w:szCs w:val="20"/>
        </w:rPr>
        <w:t xml:space="preserve">Завершающая пауза. "Спасибо. Готов ответить на вопросы."</w:t>
      </w: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 ]</w:t>
      </w:r>
    </w:p>
    <w:p>
      <w:pPr>
        <w:spacing w:before="60" w:after="60"/>
      </w:pPr>
      <w:r>
        <w:t xml:space="preserve"/>
      </w:r>
    </w:p>
    <w:p>
      <w:pPr>
        <w:pBdr>
          <w:bottom w:val="single" w:color="0D9488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Приложение: Вероятные вопросы и ответы</w:t>
      </w:r>
    </w:p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Q: Почему KYC-фикс дал лишь +4.82pp, а не заявленные +5pp MDE?</w:t>
      </w:r>
    </w:p>
    <w:p>
      <w:pPr>
        <w:spacing w:before="80" w:after="80" w:line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A: MDE — это пороговое значение для планирования мощности эксперимента, а не гарантированный результат. +4.82pp — это реальный эффект, статистически значимый на уровне p &lt; 0.0001 с Z-score 4.67. 95% доверительный интервал [+2.1%, +7.5%] — не включает ноль. Экономический эффект полностью оправдывает выкатку.</w:t>
      </w:r>
    </w:p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Q: Как вы контролировали сезонность при сравнении когорт P3?</w:t>
      </w:r>
    </w:p>
    <w:p>
      <w:pPr>
        <w:spacing w:before="80" w:after="80" w:line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A: Мы сравнивали когорты, активированные в одинаковые периоды года до и после сентября 2024. Дополнительно — использовали rolling average по трём когортам до/после, чтобы сгладить однонедельные флуктуации. Сезонный эффект минимален в данной категории (цифровой банк, не сезонный бизнес).</w:t>
      </w:r>
    </w:p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Q: Почему K=4 в кластеризации, а не K=3 или K=5?</w:t>
      </w:r>
    </w:p>
    <w:p>
      <w:pPr>
        <w:spacing w:before="80" w:after="80" w:line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A: Метод локтя (elbow method) показал, что переход с K=3 на K=4 снижает инерцию на ~18%, тогда как K=4→K=5 даёт лишь ~7% — менее 8%-порога. Плюс интерпретируемость: четыре сегмента имеют чёткие поведенческие паттерны и разные монетизационные стратегии.</w:t>
      </w:r>
    </w:p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Q: Что делать с сегментом 45+ в KYC?</w:t>
      </w:r>
    </w:p>
    <w:p>
      <w:pPr>
        <w:spacing w:before="80" w:after="80" w:line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A: Результаты A/B-теста показали, что прогресс-бар не решает их проблему (+2.2pp, не значимо). Следующий шаг — отдельный эксперимент: либо видеоинструкция по загрузке документов, либо кнопка вызова live-чата на экране загрузки фото. Этот сегмент ценен — у 45+ обычно выше доходы и ниже churn после активации.</w:t>
      </w:r>
    </w:p>
    <w:p>
      <w:pPr>
        <w:spacing w:before="60" w:after="60"/>
      </w:pPr>
      <w:r>
        <w:t xml:space="preserve"/>
      </w:r>
    </w:p>
    <w:p>
      <w:pPr>
        <w:pBdr>
          <w:bottom w:val="single" w:color="0D9488" w:sz="4" w:space="1"/>
        </w:pBdr>
        <w:spacing w:before="200" w:after="200"/>
      </w:pPr>
      <w:r>
        <w:t xml:space="preserve"/>
      </w:r>
    </w:p>
    <w:p>
      <w:pPr>
        <w:spacing w:before="240" w:after="60"/>
        <w:jc w:val="center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Volta Neobank · Product Analytics Portfolio · 2024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475569"/>
          <w:sz w:val="16"/>
          <w:szCs w:val="16"/>
        </w:rPr>
        <w:t xml:space="preserve">Confidential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9488" w:sz="4" w:space="1"/>
      </w:pBdr>
      <w:tabs>
        <w:tab w:val="right" w:pos="9026"/>
      </w:tabs>
    </w:pPr>
    <w:r>
      <w:rPr>
        <w:rFonts w:ascii="Arial" w:cs="Arial" w:eastAsia="Arial" w:hAnsi="Arial"/>
        <w:color w:val="475569"/>
        <w:sz w:val="16"/>
        <w:szCs w:val="16"/>
      </w:rPr>
      <w:t xml:space="preserve">Confidential · 2024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475569"/>
        <w:sz w:val="16"/>
        <w:szCs w:val="16"/>
      </w:rPr>
      <w:t xml:space="preserve">Стр.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4" w:space="1"/>
      </w:pBdr>
    </w:pPr>
    <w:r>
      <w:rPr>
        <w:rFonts w:ascii="Arial" w:cs="Arial" w:eastAsia="Arial" w:hAnsi="Arial"/>
        <w:color w:val="475569"/>
        <w:sz w:val="18"/>
        <w:szCs w:val="18"/>
      </w:rPr>
      <w:t xml:space="preserve">Volta Neobank · Product Analytics Portfolio</w:t>
    </w:r>
    <w:r>
      <w:rPr>
        <w:rFonts w:ascii="Arial" w:cs="Arial" w:eastAsia="Arial" w:hAnsi="Arial"/>
        <w:color w:val="0D9488"/>
        <w:sz w:val="18"/>
        <w:szCs w:val="18"/>
      </w:rPr>
      <w:t xml:space="preserve">  ·  Доклад для выступления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0D948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2026-03-18T07:50:27.376Z</dcterms:created>
  <dcterms:modified xsi:type="dcterms:W3CDTF">2026-03-18T07:50:27.377Z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