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ОТЧЁТ ПО ПРАКТИЧЕСКОЙ РАБОТЕ № 3</w:t>
      </w:r>
    </w:p>
    <w:p>
      <w:pPr>
        <w:jc w:val="center"/>
      </w:pPr>
      <w:r>
        <w:t>Умножение матриц с использованием разделяемой памяти CUDA</w:t>
      </w:r>
    </w:p>
    <w:p>
      <w:r>
        <w:t>Репозиторий: https://github.com/NikitaBuchenik/hsys</w:t>
      </w:r>
    </w:p>
    <w:p>
      <w:pPr>
        <w:pStyle w:val="Heading1"/>
      </w:pPr>
      <w:r>
        <w:t>1 Цель работы</w:t>
      </w:r>
    </w:p>
    <w:p>
      <w:r>
        <w:t>Реализовать умножение матриц на CUDA с использованием разделяемой памяти, проверить корректность относительно Eigen, измерить время исполнения и сравнить экспериментальные результаты с наивным CUDA-ядром.</w:t>
      </w:r>
    </w:p>
    <w:p>
      <w:pPr>
        <w:pStyle w:val="Heading1"/>
      </w:pPr>
      <w:r>
        <w:t>2 Реализация</w:t>
      </w:r>
    </w:p>
    <w:p>
      <w:r>
        <w:t>Ядро kernel_matmul_shmem загружает фрагменты матриц размером 16×16 в shared memory, синхронизирует потоки с помощью __syncthreads() и накапливает скалярное произведение. Для частично заполненных плиток выполняется загрузка нулей. MatrixView передаётся в ядро по значению.</w:t>
      </w:r>
    </w:p>
    <w:p>
      <w:r>
        <w:t>Оператор operator* использует стратегию SharedMemory. Наивная реализация сохранена для экспериментального сравнения. Для квадратных матриц теоретическая вычислительная сложность обеих реализаций — Θ(n³); тайлинг оптимизирует повторное использование данных, но не меняет асимптотику.</w:t>
      </w:r>
    </w:p>
    <w:p>
      <w:pPr>
        <w:pStyle w:val="Heading1"/>
      </w:pPr>
      <w:r>
        <w:t>3 Проверка корректности</w:t>
      </w:r>
    </w:p>
    <w:p>
      <w:r>
        <w:t>Автоматические тесты охватывают все 343 сочетания размеров из множества {1, 2, 3, 127, 128, 129, 512} для m, k и n. Результат сравнивается с Eigen::MatrixXf через isApprox с допуском 10⁻⁵. Отдельно проверяются размеры на границах плиток, нулевое внутреннее измерение и несовместимые размеры.</w:t>
      </w:r>
    </w:p>
    <w:p>
      <w:r>
        <w:t>Результаты тестирования: см. tests.xml в каталоге измерений. Этот отчёт создаётся после запуска тестов и benchmark; сами тесты должны быть успешно выполнены на целевой системе с CUDA.</w:t>
      </w:r>
    </w:p>
    <w:p>
      <w:pPr>
        <w:pStyle w:val="Heading1"/>
      </w:pPr>
      <w:r>
        <w:t>4 Методика эксперимента</w:t>
      </w:r>
    </w:p>
    <w:p>
      <w:r>
        <w:t>Входные данные и буферы матриц создаются до измеряемого интервала. CUDA Events размещены вокруг запуска ядра, поэтому выделение памяти, копирование host/device и освобождение памяти не включены во время CUDA-вычислений. Для каждого размера следует использовать несколько повторений и приводить медиану. Параметры среды фиксируются в JSON-отчёте Google Benchmark.</w:t>
      </w:r>
    </w:p>
    <w:p>
      <w:r>
        <w:t>Среда выполнения: GPU — не записано; compute capability — не записано; CUDA driver — не записано; CUDA runtime — не записано.</w:t>
      </w:r>
    </w:p>
    <w:p>
      <w:pPr>
        <w:pStyle w:val="Heading1"/>
      </w:pPr>
      <w:r>
        <w:t>5 Результаты измерений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n</w:t>
            </w:r>
          </w:p>
        </w:tc>
        <w:tc>
          <w:tcPr>
            <w:tcW w:type="dxa" w:w="2422"/>
          </w:tcPr>
          <w:p>
            <w:r>
              <w:t>Наивное ядро, мс</w:t>
            </w:r>
          </w:p>
        </w:tc>
        <w:tc>
          <w:tcPr>
            <w:tcW w:type="dxa" w:w="2422"/>
          </w:tcPr>
          <w:p>
            <w:r>
              <w:t>Shared memory, мс</w:t>
            </w:r>
          </w:p>
        </w:tc>
        <w:tc>
          <w:tcPr>
            <w:tcW w:type="dxa" w:w="2422"/>
          </w:tcPr>
          <w:p>
            <w:r>
              <w:t>Ускорение, раз</w:t>
            </w:r>
          </w:p>
        </w:tc>
      </w:tr>
      <w:tr>
        <w:tc>
          <w:tcPr>
            <w:tcW w:type="dxa" w:w="2422"/>
          </w:tcPr>
          <w:p>
            <w:r>
              <w:t>16</w:t>
            </w:r>
          </w:p>
        </w:tc>
        <w:tc>
          <w:tcPr>
            <w:tcW w:type="dxa" w:w="2422"/>
          </w:tcPr>
          <w:p>
            <w:r>
              <w:t>0,010930</w:t>
            </w:r>
          </w:p>
        </w:tc>
        <w:tc>
          <w:tcPr>
            <w:tcW w:type="dxa" w:w="2422"/>
          </w:tcPr>
          <w:p>
            <w:r>
              <w:t>0,011482</w:t>
            </w:r>
          </w:p>
        </w:tc>
        <w:tc>
          <w:tcPr>
            <w:tcW w:type="dxa" w:w="2422"/>
          </w:tcPr>
          <w:p>
            <w:r>
              <w:t>0,952</w:t>
            </w:r>
          </w:p>
        </w:tc>
      </w:tr>
      <w:tr>
        <w:tc>
          <w:tcPr>
            <w:tcW w:type="dxa" w:w="2422"/>
          </w:tcPr>
          <w:p>
            <w:r>
              <w:t>32</w:t>
            </w:r>
          </w:p>
        </w:tc>
        <w:tc>
          <w:tcPr>
            <w:tcW w:type="dxa" w:w="2422"/>
          </w:tcPr>
          <w:p>
            <w:r>
              <w:t>0,010595</w:t>
            </w:r>
          </w:p>
        </w:tc>
        <w:tc>
          <w:tcPr>
            <w:tcW w:type="dxa" w:w="2422"/>
          </w:tcPr>
          <w:p>
            <w:r>
              <w:t>0,012874</w:t>
            </w:r>
          </w:p>
        </w:tc>
        <w:tc>
          <w:tcPr>
            <w:tcW w:type="dxa" w:w="2422"/>
          </w:tcPr>
          <w:p>
            <w:r>
              <w:t>0,823</w:t>
            </w:r>
          </w:p>
        </w:tc>
      </w:tr>
      <w:tr>
        <w:tc>
          <w:tcPr>
            <w:tcW w:type="dxa" w:w="2422"/>
          </w:tcPr>
          <w:p>
            <w:r>
              <w:t>64</w:t>
            </w:r>
          </w:p>
        </w:tc>
        <w:tc>
          <w:tcPr>
            <w:tcW w:type="dxa" w:w="2422"/>
          </w:tcPr>
          <w:p>
            <w:r>
              <w:t>0,012402</w:t>
            </w:r>
          </w:p>
        </w:tc>
        <w:tc>
          <w:tcPr>
            <w:tcW w:type="dxa" w:w="2422"/>
          </w:tcPr>
          <w:p>
            <w:r>
              <w:t>0,011906</w:t>
            </w:r>
          </w:p>
        </w:tc>
        <w:tc>
          <w:tcPr>
            <w:tcW w:type="dxa" w:w="2422"/>
          </w:tcPr>
          <w:p>
            <w:r>
              <w:t>1,042</w:t>
            </w:r>
          </w:p>
        </w:tc>
      </w:tr>
      <w:tr>
        <w:tc>
          <w:tcPr>
            <w:tcW w:type="dxa" w:w="2422"/>
          </w:tcPr>
          <w:p>
            <w:r>
              <w:t>128</w:t>
            </w:r>
          </w:p>
        </w:tc>
        <w:tc>
          <w:tcPr>
            <w:tcW w:type="dxa" w:w="2422"/>
          </w:tcPr>
          <w:p>
            <w:r>
              <w:t>0,021839</w:t>
            </w:r>
          </w:p>
        </w:tc>
        <w:tc>
          <w:tcPr>
            <w:tcW w:type="dxa" w:w="2422"/>
          </w:tcPr>
          <w:p>
            <w:r>
              <w:t>0,021165</w:t>
            </w:r>
          </w:p>
        </w:tc>
        <w:tc>
          <w:tcPr>
            <w:tcW w:type="dxa" w:w="2422"/>
          </w:tcPr>
          <w:p>
            <w:r>
              <w:t>1,032</w:t>
            </w:r>
          </w:p>
        </w:tc>
      </w:tr>
      <w:tr>
        <w:tc>
          <w:tcPr>
            <w:tcW w:type="dxa" w:w="2422"/>
          </w:tcPr>
          <w:p>
            <w:r>
              <w:t>256</w:t>
            </w:r>
          </w:p>
        </w:tc>
        <w:tc>
          <w:tcPr>
            <w:tcW w:type="dxa" w:w="2422"/>
          </w:tcPr>
          <w:p>
            <w:r>
              <w:t>0,069145</w:t>
            </w:r>
          </w:p>
        </w:tc>
        <w:tc>
          <w:tcPr>
            <w:tcW w:type="dxa" w:w="2422"/>
          </w:tcPr>
          <w:p>
            <w:r>
              <w:t>0,056878</w:t>
            </w:r>
          </w:p>
        </w:tc>
        <w:tc>
          <w:tcPr>
            <w:tcW w:type="dxa" w:w="2422"/>
          </w:tcPr>
          <w:p>
            <w:r>
              <w:t>1,216</w:t>
            </w:r>
          </w:p>
        </w:tc>
      </w:tr>
      <w:tr>
        <w:tc>
          <w:tcPr>
            <w:tcW w:type="dxa" w:w="2422"/>
          </w:tcPr>
          <w:p>
            <w:r>
              <w:t>512</w:t>
            </w:r>
          </w:p>
        </w:tc>
        <w:tc>
          <w:tcPr>
            <w:tcW w:type="dxa" w:w="2422"/>
          </w:tcPr>
          <w:p>
            <w:r>
              <w:t>0,480268</w:t>
            </w:r>
          </w:p>
        </w:tc>
        <w:tc>
          <w:tcPr>
            <w:tcW w:type="dxa" w:w="2422"/>
          </w:tcPr>
          <w:p>
            <w:r>
              <w:t>0,380369</w:t>
            </w:r>
          </w:p>
        </w:tc>
        <w:tc>
          <w:tcPr>
            <w:tcW w:type="dxa" w:w="2422"/>
          </w:tcPr>
          <w:p>
            <w:r>
              <w:t>1,263</w:t>
            </w:r>
          </w:p>
        </w:tc>
      </w:tr>
      <w:tr>
        <w:tc>
          <w:tcPr>
            <w:tcW w:type="dxa" w:w="2422"/>
          </w:tcPr>
          <w:p>
            <w:r>
              <w:t>1024</w:t>
            </w:r>
          </w:p>
        </w:tc>
        <w:tc>
          <w:tcPr>
            <w:tcW w:type="dxa" w:w="2422"/>
          </w:tcPr>
          <w:p>
            <w:r>
              <w:t>3,851919</w:t>
            </w:r>
          </w:p>
        </w:tc>
        <w:tc>
          <w:tcPr>
            <w:tcW w:type="dxa" w:w="2422"/>
          </w:tcPr>
          <w:p>
            <w:r>
              <w:t>2,980348</w:t>
            </w:r>
          </w:p>
        </w:tc>
        <w:tc>
          <w:tcPr>
            <w:tcW w:type="dxa" w:w="2422"/>
          </w:tcPr>
          <w:p>
            <w:r>
              <w:t>1,292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Время вычислений в зависимости от размера матрицы</w:t>
      </w:r>
    </w:p>
    <w:p>
      <w:r>
        <w:drawing>
          <wp:inline xmlns:a="http://schemas.openxmlformats.org/drawingml/2006/main" xmlns:pic="http://schemas.openxmlformats.org/drawingml/2006/picture">
            <wp:extent cx="54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Ускорение shared-memory-реализации</w:t>
      </w:r>
    </w:p>
    <w:p>
      <w:pPr>
        <w:pStyle w:val="Heading1"/>
      </w:pPr>
      <w:r>
        <w:t>6 Анализ</w:t>
      </w:r>
    </w:p>
    <w:p>
      <w:r>
        <w:t>При увеличении n число арифметических операций растёт пропорционально n³. Shared memory позволяет повторно использовать загруженные элементы матриц и снижать нагрузку на глобальную память. Для малых матриц накладные расходы запуска ядра могут нивелировать выигрыш. Фактическое ускорение зависит от архитектуры GPU, компилятора и размеров матриц; выводы следует делать по графикам и таблице, а не только по теоретической модели.</w:t>
      </w:r>
    </w:p>
    <w:p>
      <w:pPr>
        <w:pStyle w:val="Heading1"/>
      </w:pPr>
      <w:r>
        <w:t>7 Вывод</w:t>
      </w:r>
    </w:p>
    <w:p>
      <w:r>
        <w:t>Реализовано и проверяется умножение матриц с использованием shared memory. Экспериментальные данные позволяют оценить влияние тайлинга и сопоставить измеренное время с теоретической сложностью Θ(n³). Перед сдачей необходимо приложить протокол успешных тестов и фактические графики, созданные на целевой GPU.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