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bidi="ar-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 w:bidi="ar-S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 w:bidi="ar-S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bidi="ar-S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bidi="ar-SA"/>
        </w:rPr>
      </w:pPr>
      <w:r>
        <w:rPr>
          <w:rFonts w:cs="Times New Roman" w:ascii="Times New Roman" w:hAnsi="Times New Roman"/>
          <w:sz w:val="30"/>
          <w:szCs w:val="28"/>
          <w:lang w:val="uk-UA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 w:bidi="ar-SA"/>
        </w:rPr>
      </w:pPr>
      <w:r>
        <w:rPr>
          <w:rFonts w:cs="Times New Roman" w:ascii="Times New Roman" w:hAnsi="Times New Roman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bidi="ar-S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bidi="ar-SA"/>
        </w:rPr>
        <w:t>з дисципліни Архітектура та Проектування Програмного Забезпечення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bidi="ar-SA"/>
        </w:rPr>
        <w:t>Конспект №2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bidi="ar-SA"/>
        </w:rPr>
        <w:t>на тему: «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lang w:val="uk-UA" w:eastAsia="uk-UA" w:bidi="ar-SA"/>
          <w14:ligatures w14:val="none"/>
        </w:rPr>
        <w:t>Проектування багатошарових додатків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bidi="ar-SA"/>
        </w:rPr>
        <w:t>»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bidi="ar-SA"/>
        </w:rPr>
      </w:pPr>
      <w:r>
        <w:rPr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bidi="ar-S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 w:bidi="ar-SA"/>
        </w:rPr>
      </w:pPr>
      <w:r>
        <w:rPr>
          <w:lang w:val="uk-UA" w:bidi="ar-SA"/>
        </w:rPr>
        <w:t xml:space="preserve">Виконав: студент </w:t>
      </w:r>
      <w:r>
        <w:rPr>
          <w:lang w:val="uk-UA" w:bidi="ar-SA"/>
        </w:rPr>
        <w:t>4</w:t>
      </w:r>
      <w:r>
        <w:rPr>
          <w:lang w:val="uk-UA" w:bidi="ar-SA"/>
        </w:rPr>
        <w:t xml:space="preserve"> курсу, групи</w:t>
      </w:r>
      <w:r>
        <w:rPr>
          <w:spacing w:val="1"/>
          <w:lang w:val="uk-UA" w:bidi="ar-SA"/>
        </w:rPr>
        <w:t xml:space="preserve"> ІП</w:t>
      </w:r>
      <w:r>
        <w:rPr>
          <w:lang w:val="uk-UA" w:bidi="ar-SA"/>
        </w:rPr>
        <w:t>З-4.04</w:t>
      </w:r>
      <w:r>
        <w:rPr>
          <w:spacing w:val="-67"/>
          <w:lang w:val="uk-UA" w:bidi="ar-SA"/>
        </w:rPr>
        <w:t xml:space="preserve"> </w:t>
      </w:r>
      <w:r>
        <w:rPr>
          <w:lang w:val="uk-UA" w:bidi="ar-S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lang w:val="uk-UA" w:bidi="ar-SA"/>
        </w:rPr>
      </w:pPr>
      <w:r>
        <w:rPr>
          <w:lang w:val="uk-UA" w:bidi="ar-S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 w:bidi="ar-SA"/>
        </w:rPr>
      </w:pPr>
      <w:r>
        <w:rPr>
          <w:spacing w:val="-4"/>
          <w:lang w:val="uk-UA" w:bidi="ar-SA"/>
        </w:rPr>
      </w:r>
    </w:p>
    <w:p>
      <w:pPr>
        <w:pStyle w:val="TextBody"/>
        <w:spacing w:lineRule="exact" w:line="316"/>
        <w:ind w:left="3969" w:right="0" w:hanging="0"/>
        <w:rPr>
          <w:lang w:val="uk-UA" w:bidi="ar-SA"/>
        </w:rPr>
      </w:pPr>
      <w:r>
        <w:rPr>
          <w:lang w:val="uk-UA" w:bidi="ar-SA"/>
        </w:rPr>
        <w:t>__</w:t>
      </w:r>
      <w:r>
        <w:rPr>
          <w:b w:val="false"/>
          <w:bCs w:val="false"/>
          <w:lang w:val="uk-UA" w:bidi="ar-SA"/>
        </w:rPr>
        <w:t>__________________________</w:t>
      </w:r>
      <w:r>
        <w:rPr>
          <w:u w:val="single"/>
          <w:lang w:val="uk-UA" w:bidi="ar-SA"/>
        </w:rPr>
        <w:t>Бухта М.М.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-9"/>
          <w:sz w:val="28"/>
          <w:szCs w:val="28"/>
          <w:lang w:val="uk-UA" w:bidi="ar-SA"/>
        </w:rPr>
        <w:t>Одеса  2024</w:t>
      </w:r>
    </w:p>
    <w:p>
      <w:pPr>
        <w:pStyle w:val="Normal"/>
        <w:spacing w:lineRule="auto" w:line="240" w:beforeAutospacing="1" w:afterAutospacing="1"/>
        <w:rPr>
          <w:sz w:val="32"/>
          <w:szCs w:val="32"/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32"/>
          <w:szCs w:val="32"/>
          <w:lang w:val="uk-UA" w:eastAsia="uk-UA" w:bidi="ar-SA"/>
          <w14:ligatures w14:val="none"/>
        </w:rPr>
        <w:t>Проектування багатошарових додатків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1. Загальна структура багатошарових додатків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Додатки проектуються з логічним угрупованням компонентів у шари, які взаємодіють між собою та з іншими клієнтами/додатками.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Логічне поділ на шари не залежить від фізичного розміщення компонентів.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Шари можуть бути розміщені як на різних рівнях (tiers), так і на одному.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2. Відмінність між шарами та рівнями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Шари (Layers) описують логічне угруповання функцій та компонентів у додатку.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Рівні (Tiers) описують фізичний розподіл функцій та компонентів по серверах, комп'ютерах, мережах.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Можливе розміщення кількох шарів на одному рівні (наприклад, дворівневий, трирівневий, n-рівневий додаток).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3. Логічне поділ на шари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Кожен логічний шар включає різні типи компонентів, згрупованих у підшари, що виконують певні завдання.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Поділ на шари допомагає розмежувати функціональність, підвищити зручність обслуговування та забезпечити можливість повторного використання компонентів.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4. Основні шари багатошарових додатків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Шар представлення: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Описує орієнтовану на користувача функціональність, що забезпечує взаємодію з користувачем.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Бізнес-шар: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Реалізує основну функціональність та бізнес-логіку.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Шар даних: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Забезпечує доступ до даних, що зберігаються або надаються іншими системами.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5. Сервіси та шари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Сервіси можна розглядати як набір компонентів, згрупованих у шари представлення, бізнес-шар та шар даних.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Шар сервісів надає доступ до бізнес-функціональності додатка через інтерфейси, що дозволяє підтримувати різні типи клієнтів.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6. Етапи проектування багатошарової структури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Крок 1: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Вибір стратегії поділу на шари.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Крок 2: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Вибір необхідних шарів.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Крок 3: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Прийняття рішення про розподіл шарів та компонентів.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Крок 4: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З'ясування можливості згортання шарів.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Крок 5: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Визначення правил взаємодії між шарами.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Крок 6: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Визначення наскрізної функціональності.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Крок 7: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Визначення інтерфейсів між шарами.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Крок 8: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Вибір стратегії розгортання.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Крок 9:</w:t>
      </w: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 xml:space="preserve"> Вибір протоколів зв'язку.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7. Вибір стратегії поділу на шари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Важливо визначити відповідний рівень деталізації під час поділу програми на шари.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Вибір стратегії поділу на шари залежить від логічного чи фізичного поділу.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Логічний поділ дозволяє розгортати шари на одному рівні для підвищення продуктивності, збереження гнучкості та слабкої зв'язності.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8. Вибір необхідних шарів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Шари обираються залежно від функціональності додатка.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Поширені шари: представлення, бізнес-шар, шар даних, шар сервісів.</w:t>
      </w:r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Додаткові шари можуть бути введені, якщо вони суттєво покращують зручність обслуговування та масштабованість додатка.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9. Прийняття рішення про розподіл шарів та компонентів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Розподіл шарів на різні фізичні рівні залежить від потреб у безпеці, масштабованості та продуктивності.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Можливе об'єднання шарів у разі доцільності.</w:t>
      </w:r>
    </w:p>
    <w:p>
      <w:pPr>
        <w:pStyle w:val="Normal"/>
        <w:spacing w:lineRule="auto" w:line="240" w:beforeAutospacing="1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b/>
          <w:bCs/>
          <w:kern w:val="0"/>
          <w:sz w:val="28"/>
          <w:szCs w:val="28"/>
          <w:lang w:val="uk-UA" w:eastAsia="uk-UA" w:bidi="ar-SA"/>
          <w14:ligatures w14:val="none"/>
        </w:rPr>
        <w:t>10. Визначення правил взаємодії між шарами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Визначення односпрямованої взаємодії між шарами для уникнення циклічних залежностей.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Сувора взаємодія: кожен шар взаємодіє лише з шаром, розташованим безпосередньо під ним.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lang w:val="uk-UA" w:bidi="ar-SA"/>
        </w:rPr>
      </w:pPr>
      <w:r>
        <w:rPr>
          <w:rFonts w:eastAsia="Times New Roman" w:cs="Times New Roman" w:ascii="Times New Roman" w:hAnsi="Times New Roman"/>
          <w:kern w:val="0"/>
          <w:sz w:val="28"/>
          <w:szCs w:val="28"/>
          <w:lang w:val="uk-UA" w:eastAsia="uk-UA" w:bidi="ar-SA"/>
          <w14:ligatures w14:val="none"/>
        </w:rPr>
        <w:t>Вільна взаємодія: верхні шари можуть взаємодіяти з нижніми шарами напряму.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1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1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1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1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54">
    <w:name w:val="Grid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val="307ABD" w:themeColor="accent1" w:themeTint="80" w:themeShade="95"/>
      </w:rPr>
      <w:tblPr/>
    </w:tblStylePr>
    <w:tblStylePr w:type="firstRow">
      <w:rPr>
        <w:b/>
        <w:color w:val="307ABD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tblPr/>
    </w:tblStylePr>
    <w:tblStylePr w:type="lastRow">
      <w:rPr>
        <w:b/>
        <w:color w:val="307ABD"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55">
    <w:name w:val="Grid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A5D12" w:themeColor="accent2" w:themeTint="97" w:themeShade="95"/>
      </w:rPr>
      <w:tblPr/>
    </w:tblStylePr>
    <w:tblStylePr w:type="firstRow">
      <w:rPr>
        <w:b/>
        <w:color w:val="CA5D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tblPr/>
    </w:tblStylePr>
    <w:tblStylePr w:type="lastRow">
      <w:rPr>
        <w:b/>
        <w:color w:val="CA5D12"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56">
    <w:name w:val="Grid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57">
    <w:name w:val="Grid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D09D00" w:themeColor="accent4" w:themeTint="9a" w:themeShade="95"/>
      </w:rPr>
      <w:tblPr/>
    </w:tblStylePr>
    <w:tblStylePr w:type="firstRow">
      <w:rPr>
        <w:b/>
        <w:color w:val="D09D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tblPr/>
    </w:tblStylePr>
    <w:tblStylePr w:type="lastRow">
      <w:rPr>
        <w:b/>
        <w:color w:val="D09D00"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58">
    <w:name w:val="Grid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275" w:themeColor="accent5" w:themeShade="95"/>
      </w:rPr>
      <w:tblPr/>
    </w:tblStylePr>
    <w:tblStylePr w:type="firstRow">
      <w:rPr>
        <w:b/>
        <w:color w:val="254275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tblPr/>
    </w:tblStylePr>
    <w:tblStylePr w:type="lastRow">
      <w:rPr>
        <w:b/>
        <w:color w:val="2542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59">
    <w:name w:val="Grid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val="254275" w:themeColor="accent5" w:themeShade="95"/>
      </w:rPr>
      <w:tblPr/>
    </w:tblStylePr>
    <w:tblStylePr w:type="firstRow">
      <w:rPr>
        <w:b/>
        <w:color w:val="254275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tblPr/>
    </w:tblStylePr>
    <w:tblStylePr w:type="lastRow">
      <w:rPr>
        <w:b/>
        <w:color w:val="254275"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0">
    <w:name w:val="Grid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07ABD"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val="307ABD"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07ABD"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07ABD"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val="307ABD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val="CA5D12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val="D09D00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275"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val="254275"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54275"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54275"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54275"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val="254275"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16529"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val="416529"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16529"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416529"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16529"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val="416529"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1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6">
    <w:name w:val="List Table 5 Dark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7">
    <w:name w:val="List Table 5 Dark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8">
    <w:name w:val="List Table 5 Dark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99">
    <w:name w:val="List Table 5 Dark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0">
    <w:name w:val="List Table 5 Dark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1">
    <w:name w:val="List Table 5 Dark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FFFFFF" w:themeColor="light1"/>
        <w:sz w:val="22"/>
      </w:rPr>
      <w:tblPr/>
    </w:tblStylePr>
  </w:style>
  <w:style w:type="table" w:styleId="102">
    <w:name w:val="List Table 6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band2Vert"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val="245B8D" w:themeColor="accent1" w:themeShade="95"/>
      </w:rPr>
      <w:tblPr/>
    </w:tblStylePr>
    <w:tblStylePr w:type="firstRow">
      <w:rPr>
        <w:b/>
        <w:color w:val="245B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tblPr/>
    </w:tblStylePr>
    <w:tblStylePr w:type="lastRow">
      <w:rPr>
        <w:b/>
        <w:color w:val="245B8D"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val="CA5D12" w:themeColor="accent2" w:themeTint="97" w:themeShade="95"/>
      </w:rPr>
      <w:tblPr/>
    </w:tblStylePr>
    <w:tblStylePr w:type="firstRow">
      <w:rPr>
        <w:b/>
        <w:color w:val="CA5D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tblPr/>
    </w:tblStylePr>
    <w:tblStylePr w:type="lastRow">
      <w:rPr>
        <w:b/>
        <w:color w:val="CA5D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D09D00" w:themeColor="accent4" w:themeTint="9a" w:themeShade="95"/>
      </w:rPr>
      <w:tblPr/>
    </w:tblStylePr>
    <w:tblStylePr w:type="firstRow">
      <w:rPr>
        <w:b/>
        <w:color w:val="D09D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tblPr/>
    </w:tblStylePr>
    <w:tblStylePr w:type="lastRow">
      <w:rPr>
        <w:b/>
        <w:color w:val="D09D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val="335BA0" w:themeColor="accent5" w:themeTint="9a" w:themeShade="95"/>
      </w:rPr>
      <w:tblPr/>
    </w:tblStylePr>
    <w:tblStylePr w:type="firstRow">
      <w:rPr>
        <w:b/>
        <w:color w:val="335B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tblPr/>
    </w:tblStylePr>
    <w:tblStylePr w:type="lastRow">
      <w:rPr>
        <w:b/>
        <w:color w:val="335B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val="5E923C" w:themeColor="accent6" w:themeTint="98" w:themeShade="95"/>
      </w:rPr>
      <w:tblPr/>
    </w:tblStylePr>
    <w:tblStylePr w:type="firstRow">
      <w:rPr>
        <w:b/>
        <w:color w:val="5E92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tblPr/>
    </w:tblStylePr>
    <w:tblStylePr w:type="lastRow">
      <w:rPr>
        <w:b/>
        <w:color w:val="5E92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10">
    <w:name w:val="List Table 7 Colorful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B8D"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val="245B8D"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45B8D"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245B8D"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val="245B8D"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245B8D" w:themeColor="accent1" w:themeShade="95"/>
        <w:sz w:val="22"/>
      </w:rPr>
      <w:tblPr/>
    </w:tblStylePr>
  </w:style>
  <w:style w:type="table" w:styleId="111">
    <w:name w:val="List Table 7 Colorful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A5D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A5D12"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CA5D12"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CA5D12"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val="CA5D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CA5D12" w:themeColor="accent2" w:themeTint="97" w:themeShade="95"/>
        <w:sz w:val="22"/>
      </w:rPr>
      <w:tblPr/>
    </w:tblStylePr>
  </w:style>
  <w:style w:type="table" w:styleId="112">
    <w:name w:val="List Table 7 Colorful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113">
    <w:name w:val="List Table 7 Colorful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D09D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D09D00"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D09D00"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D09D00"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val="D09D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D09D00" w:themeColor="accent4" w:themeTint="9a" w:themeShade="95"/>
        <w:sz w:val="22"/>
      </w:rPr>
      <w:tblPr/>
    </w:tblStylePr>
  </w:style>
  <w:style w:type="table" w:styleId="114">
    <w:name w:val="List Table 7 Colorful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BA0"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val="335BA0"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5BA0"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335BA0"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val="335B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335BA0" w:themeColor="accent5" w:themeTint="9a" w:themeShade="95"/>
        <w:sz w:val="22"/>
      </w:rPr>
      <w:tblPr/>
    </w:tblStylePr>
  </w:style>
  <w:style w:type="table" w:styleId="115">
    <w:name w:val="List Table 7 Colorful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E923C"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val="5E923C"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5E923C"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val="5E923C"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val="5E92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val="5E923C" w:themeColor="accent6" w:themeTint="98" w:themeShade="95"/>
        <w:sz w:val="22"/>
      </w:rPr>
      <w:tblPr/>
    </w:tblStylePr>
  </w:style>
  <w:style w:type="table" w:styleId="116">
    <w:name w:val="Lined - Accent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1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LibreOffice/7.4.7.2$Linux_X86_64 LibreOffice_project/40$Build-2</Application>
  <AppVersion>15.0000</AppVersion>
  <Pages>4</Pages>
  <Words>459</Words>
  <Characters>2960</Characters>
  <CharactersWithSpaces>3334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2024-10-07T15:45:35Z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