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t>3</w:t>
      </w:r>
      <w:r>
        <w:t>.</w:t>
      </w:r>
      <w:r>
        <w:t xml:space="preserve"> </w:t>
      </w:r>
      <w:r>
        <w:t>Экспериментальная проверка разработанного алгоритма</w:t>
      </w:r>
    </w:p>
    <w:p w14:paraId="02000000">
      <w:pPr>
        <w:pStyle w:val="Style_1"/>
      </w:pPr>
      <w:r>
        <w:t xml:space="preserve">3.1 </w:t>
      </w:r>
      <w:r>
        <w:t xml:space="preserve">Организация </w:t>
      </w:r>
      <w:r>
        <w:rPr>
          <w:color w:val="843C0B"/>
        </w:rPr>
        <w:t>вычислительного</w:t>
      </w:r>
      <w:r>
        <w:t xml:space="preserve"> эксперимента</w:t>
      </w:r>
    </w:p>
    <w:p w14:paraId="03000000">
      <w:pPr>
        <w:pStyle w:val="Style_1"/>
      </w:pPr>
      <w:r>
        <w:t>3.1</w:t>
      </w:r>
      <w:r>
        <w:t>.1</w:t>
      </w:r>
      <w:r>
        <w:t xml:space="preserve"> Проектирование и разработка </w:t>
      </w:r>
      <w:r>
        <w:t xml:space="preserve">модели в </w:t>
      </w:r>
      <w:r>
        <w:t>Unity</w:t>
      </w:r>
    </w:p>
    <w:p w14:paraId="04000000"/>
    <w:p w14:paraId="05000000">
      <w:pPr>
        <w:spacing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Реализация алгоритма включает использование датчиков изменения высоты, которые располагаются на определенном расстоянии друг от друга. Сигналы от этих датчиков передаются на центральный компьютер или контроллер для обработки данных.</w:t>
      </w:r>
    </w:p>
    <w:p w14:paraId="06000000">
      <w:r>
        <w:rPr>
          <w:rFonts w:ascii="Times New Roman" w:hAnsi="Times New Roman"/>
          <w:sz w:val="28"/>
        </w:rPr>
        <w:t xml:space="preserve">Для эмуляции функциональности устройства был выбран игровой движок Unity, который является популярным и предоставляет возможность создания виртуальных сред и моделирования физических процессов. В рамках Unity была разработана симуляция, которая имитировала считывание показателей с датчиков. Таким образом, была осуществлена проверка алгоритма определения </w:t>
      </w:r>
      <w:r>
        <w:rPr>
          <w:rFonts w:ascii="Times New Roman" w:hAnsi="Times New Roman"/>
          <w:color w:val="000000"/>
          <w:sz w:val="28"/>
        </w:rPr>
        <w:t xml:space="preserve">количества яиц без использования реальных яиц и физической модели. </w:t>
      </w:r>
      <w:r>
        <w:rPr>
          <w:rFonts w:ascii="Times New Roman" w:hAnsi="Times New Roman"/>
          <w:color w:val="000000"/>
          <w:sz w:val="28"/>
        </w:rPr>
        <w:t>Геометрические показатели зависимости размера яиц от категории соответствует рисунку 1.</w:t>
      </w:r>
    </w:p>
    <w:p w14:paraId="07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drawing>
          <wp:inline>
            <wp:extent cx="4688416" cy="1820333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4688416" cy="18203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ind/>
        <w:jc w:val="center"/>
      </w:pPr>
      <w:r>
        <w:rPr>
          <w:rFonts w:ascii="Times New Roman" w:hAnsi="Times New Roman"/>
          <w:color w:val="000000"/>
          <w:sz w:val="28"/>
        </w:rPr>
        <w:t xml:space="preserve">Рисунок 1 – </w:t>
      </w:r>
      <w:r>
        <w:rPr>
          <w:rFonts w:ascii="Times New Roman" w:hAnsi="Times New Roman"/>
          <w:color w:val="000000"/>
          <w:sz w:val="28"/>
        </w:rPr>
        <w:t>Геометрические показатели зависимости размера яиц от категории</w:t>
      </w:r>
    </w:p>
    <w:p w14:paraId="09000000">
      <w:r>
        <w:t xml:space="preserve">На рисунке 2 представлена генерация объектов, учитывая </w:t>
      </w:r>
      <w:r>
        <w:rPr>
          <w:rFonts w:ascii="Times New Roman" w:hAnsi="Times New Roman"/>
          <w:sz w:val="28"/>
        </w:rPr>
        <w:t>различные категории и положение яиц.</w:t>
      </w:r>
    </w:p>
    <w:p w14:paraId="0A000000">
      <w:pPr>
        <w:pStyle w:val="Style_2"/>
        <w:spacing w:after="68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648324" cy="3200400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648324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ind/>
        <w:jc w:val="center"/>
      </w:pPr>
      <w:r>
        <w:rPr>
          <w:rFonts w:ascii="Times New Roman" w:hAnsi="Times New Roman"/>
          <w:sz w:val="28"/>
        </w:rPr>
        <w:t>Рисунок 2 – Генерация яиц</w:t>
      </w:r>
    </w:p>
    <w:p w14:paraId="0C000000"/>
    <w:p w14:paraId="0D000000">
      <w:r>
        <w:t>Код генерации объектов представлен листингом 1.</w:t>
      </w:r>
    </w:p>
    <w:p w14:paraId="0E000000"/>
    <w:p w14:paraId="0F000000">
      <w:pPr>
        <w:ind w:firstLine="0" w:left="0"/>
      </w:pPr>
      <w:r>
        <w:t xml:space="preserve">Листинг 1 - </w:t>
      </w:r>
      <w:r>
        <w:t>Код генерации объектов</w:t>
      </w:r>
    </w:p>
    <w:p w14:paraId="10000000">
      <w:pPr>
        <w:spacing w:line="240" w:lineRule="auto"/>
        <w:ind w:firstLine="0" w:left="0"/>
        <w:rPr>
          <w:rFonts w:ascii="Courier New" w:hAnsi="Courier New"/>
          <w:sz w:val="24"/>
        </w:rPr>
      </w:pPr>
    </w:p>
    <w:p w14:paraId="11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void Update()</w:t>
      </w:r>
    </w:p>
    <w:p w14:paraId="12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{</w:t>
      </w:r>
    </w:p>
    <w:p w14:paraId="13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float width = ConvWidthScript.getWidth();</w:t>
      </w:r>
    </w:p>
    <w:p w14:paraId="14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if (Time.time &gt; nextSpawn &amp;&amp; GlobalVar.GetIsSpawn())</w:t>
      </w:r>
    </w:p>
    <w:p w14:paraId="15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{</w:t>
      </w:r>
    </w:p>
    <w:p w14:paraId="16000000">
      <w:pPr>
        <w:spacing w:line="240" w:lineRule="auto"/>
        <w:ind w:firstLine="0" w:left="0"/>
        <w:rPr>
          <w:rFonts w:ascii="Courier New" w:hAnsi="Courier New"/>
          <w:sz w:val="24"/>
        </w:rPr>
      </w:pPr>
    </w:p>
    <w:p w14:paraId="17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nextSpawn = Time.time + spawnDelay;</w:t>
      </w:r>
    </w:p>
    <w:p w14:paraId="18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CalcEgg.addEggSpawnCol(spawnCol);</w:t>
      </w:r>
    </w:p>
    <w:p w14:paraId="19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for (int i = 0; i &lt; spawnCol; i++)</w:t>
      </w:r>
    </w:p>
    <w:p w14:paraId="1A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{</w:t>
      </w:r>
    </w:p>
    <w:p w14:paraId="1B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randomX = 0;</w:t>
      </w:r>
    </w:p>
    <w:p w14:paraId="1C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</w:t>
      </w:r>
    </w:p>
    <w:p w14:paraId="1D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float rotateEgg = Random.Range(0.0f, 360.0f);</w:t>
      </w:r>
    </w:p>
    <w:p w14:paraId="1E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whereToSpawn = new Vector3(randomX, 2.0f, -7f);</w:t>
      </w:r>
    </w:p>
    <w:p w14:paraId="1F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GameObject Enemy = Instantiate(go, whereToSpawn, Quaternion.identity);</w:t>
      </w:r>
    </w:p>
    <w:p w14:paraId="20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 Enemy.transform.Rotate(0.0f, rotateEgg, 90f);</w:t>
      </w:r>
    </w:p>
    <w:p w14:paraId="21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     Enemy.transform.localScale = new Vector3(0.011f * randomScale, 0.011f * randomScale, 0.011f * randomScale);//0.021</w:t>
      </w:r>
    </w:p>
    <w:p w14:paraId="22000000">
      <w:pPr>
        <w:spacing w:line="240" w:lineRule="auto"/>
        <w:ind w:firstLine="0" w:left="0"/>
        <w:rPr>
          <w:rFonts w:ascii="Courier New" w:hAnsi="Courier New"/>
          <w:sz w:val="24"/>
        </w:rPr>
      </w:pPr>
    </w:p>
    <w:p w14:paraId="23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    }</w:t>
      </w:r>
    </w:p>
    <w:p w14:paraId="24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    }</w:t>
      </w:r>
    </w:p>
    <w:p w14:paraId="25000000">
      <w:pPr>
        <w:spacing w:line="240" w:lineRule="auto"/>
        <w:ind w:firstLine="0" w:left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 xml:space="preserve">   }</w:t>
      </w:r>
    </w:p>
    <w:p w14:paraId="26000000">
      <w:r>
        <w:t xml:space="preserve">В Unity роль датчиков выполняют примитивные кубы, которые </w:t>
      </w:r>
      <w:r>
        <w:rPr>
          <w:rFonts w:ascii="Times New Roman" w:hAnsi="Times New Roman"/>
          <w:sz w:val="28"/>
        </w:rPr>
        <w:t>отправляют лучи (ray) через определенные промежутки времени. О</w:t>
      </w:r>
      <w:r>
        <w:rPr>
          <w:rFonts w:ascii="Times New Roman" w:hAnsi="Times New Roman"/>
          <w:sz w:val="28"/>
        </w:rPr>
        <w:t>сновные характеристики шума и частоты обновления регулируются на основе настоящих датчиков VL53L0X. Внешний вид датчиков отображен на рисунке 3. Ширина датчиков, частота обновления и расстояние до конвейера могут быть настроены. Скорость движения конвейера можно задать в пределах от 1м/мин до 12 м/мин.</w:t>
      </w:r>
    </w:p>
    <w:p w14:paraId="27000000"/>
    <w:p w14:paraId="28000000">
      <w:pPr>
        <w:pStyle w:val="Style_2"/>
        <w:spacing w:after="68" w:line="360" w:lineRule="auto"/>
        <w:ind w:firstLine="709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610224" cy="2466975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610224" cy="24669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ind/>
        <w:jc w:val="center"/>
      </w:pPr>
      <w:r>
        <w:rPr>
          <w:rFonts w:ascii="Times New Roman" w:hAnsi="Times New Roman"/>
          <w:sz w:val="28"/>
        </w:rPr>
        <w:t>Рисунок 3 – Внешний вид датчиков</w:t>
      </w:r>
    </w:p>
    <w:p w14:paraId="2A000000"/>
    <w:p w14:paraId="2B000000">
      <w:r>
        <w:t>Код фиксирования показателей датчика представлен листингом 2.</w:t>
      </w:r>
    </w:p>
    <w:p w14:paraId="2C000000"/>
    <w:p w14:paraId="2D000000">
      <w:pPr>
        <w:ind w:firstLine="0" w:left="0"/>
      </w:pPr>
      <w:r>
        <w:t xml:space="preserve">Листинг 2 - </w:t>
      </w:r>
      <w:r>
        <w:t>Код фиксирования показателей датчика</w:t>
      </w:r>
    </w:p>
    <w:p w14:paraId="2E000000"/>
    <w:p w14:paraId="2F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>void FixedUpdate()</w:t>
      </w:r>
    </w:p>
    <w:p w14:paraId="30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{</w:t>
      </w:r>
    </w:p>
    <w:p w14:paraId="31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nextUpdate = Time.time + GlobalVar.getSensorUpdateDelay();</w:t>
      </w:r>
    </w:p>
    <w:p w14:paraId="32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Ray ray = new Ray(transform.position, transform.forward * 0.15f);</w:t>
      </w:r>
    </w:p>
    <w:p w14:paraId="33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Debug.DrawRay(transform.position, transform.forward * 0.15f, Color.blue);</w:t>
      </w:r>
    </w:p>
    <w:p w14:paraId="34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RaycastHit hit;</w:t>
      </w:r>
    </w:p>
    <w:p w14:paraId="35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(!Physics.Raycast(ray, out hit, 0.45f))</w:t>
      </w:r>
    </w:p>
    <w:p w14:paraId="36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return;</w:t>
      </w:r>
    </w:p>
    <w:p w14:paraId="37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</w:t>
      </w:r>
    </w:p>
    <w:p w14:paraId="38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float randomScale = Random.Range(-GlobalVar.getNoise(), GlobalVar.getNoise());</w:t>
      </w:r>
    </w:p>
    <w:p w14:paraId="39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mas.Add(hit.distance + randomScale);</w:t>
      </w:r>
    </w:p>
    <w:p w14:paraId="3A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bool isIndexLast = (index == HeightMap.getMass().Count - 1);</w:t>
      </w:r>
    </w:p>
    <w:p w14:paraId="3B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(isIndexLast)</w:t>
      </w:r>
    </w:p>
    <w:p w14:paraId="3C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{</w:t>
      </w:r>
    </w:p>
    <w:p w14:paraId="3D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HeightMap.CheckSensors();</w:t>
      </w:r>
    </w:p>
    <w:p w14:paraId="3E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}</w:t>
      </w:r>
    </w:p>
    <w:p w14:paraId="3F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(hit.collider.gameObject.GetInstanceID() == -1268)</w:t>
      </w:r>
    </w:p>
    <w:p w14:paraId="40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return;</w:t>
      </w:r>
    </w:p>
    <w:p w14:paraId="41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</w:t>
      </w:r>
    </w:p>
    <w:p w14:paraId="42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float val = mas[mas.Count - 1];</w:t>
      </w:r>
    </w:p>
    <w:p w14:paraId="43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if (val &gt;= GlobalVar.getMinDistance())</w:t>
      </w:r>
    </w:p>
    <w:p w14:paraId="44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    return;</w:t>
      </w:r>
    </w:p>
    <w:p w14:paraId="45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>hit.collider.gameObject.GetComponent&lt;Renderer&gt;().material.color = Color.red;</w:t>
      </w:r>
    </w:p>
    <w:p w14:paraId="46000000">
      <w:pPr>
        <w:spacing w:line="240" w:lineRule="auto"/>
        <w:ind w:firstLine="0" w:left="0"/>
        <w:rPr>
          <w:rFonts w:ascii="XO Courser" w:hAnsi="XO Courser"/>
          <w:sz w:val="24"/>
        </w:rPr>
      </w:pPr>
      <w:r>
        <w:rPr>
          <w:rFonts w:ascii="XO Courser" w:hAnsi="XO Courser"/>
          <w:sz w:val="24"/>
        </w:rPr>
        <w:t xml:space="preserve">        Destroy(hit.collider.gameObject, 5f);</w:t>
      </w:r>
    </w:p>
    <w:p w14:paraId="47000000">
      <w:pPr>
        <w:spacing w:line="240" w:lineRule="auto"/>
        <w:ind w:firstLine="0" w:left="0"/>
        <w:rPr>
          <w:rFonts w:ascii="XO Courser" w:hAnsi="XO Courser"/>
          <w:sz w:val="24"/>
          <w:shd w:fill="FFD821" w:val="clear"/>
        </w:rPr>
      </w:pPr>
      <w:r>
        <w:rPr>
          <w:rFonts w:ascii="XO Courser" w:hAnsi="XO Courser"/>
          <w:sz w:val="24"/>
        </w:rPr>
        <w:t xml:space="preserve">    }</w:t>
      </w:r>
    </w:p>
    <w:p w14:paraId="48000000">
      <w:pPr>
        <w:rPr>
          <w:shd w:fill="FFD821" w:val="clear"/>
        </w:rPr>
      </w:pPr>
    </w:p>
    <w:p w14:paraId="49000000">
      <w:r>
        <w:t>Записанные показания с датчиков сохраняются в бинарный файл. Структура бинарного файла представлена на рисунке 4.</w:t>
      </w:r>
    </w:p>
    <w:p w14:paraId="4A000000"/>
    <w:p w14:paraId="4B000000">
      <w:pPr>
        <w:ind/>
        <w:jc w:val="center"/>
      </w:pPr>
    </w:p>
    <w:p w14:paraId="4C000000">
      <w:pPr>
        <w:ind/>
        <w:jc w:val="center"/>
      </w:pPr>
      <w:r>
        <w:t>Рисунок 4 – Структура бинарного файла</w:t>
      </w:r>
    </w:p>
    <w:p w14:paraId="4D000000"/>
    <w:p w14:paraId="4E000000">
      <w:pPr>
        <w:pStyle w:val="Style_2"/>
        <w:spacing w:after="68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Общий вид сцены представлен на рисунке 5.</w:t>
      </w:r>
    </w:p>
    <w:p w14:paraId="4F000000">
      <w:pPr>
        <w:pStyle w:val="Style_2"/>
        <w:spacing w:after="68" w:line="360" w:lineRule="auto"/>
        <w:ind w:firstLine="709" w:left="0"/>
        <w:jc w:val="both"/>
        <w:rPr>
          <w:rFonts w:ascii="Times New Roman" w:hAnsi="Times New Roman"/>
          <w:sz w:val="28"/>
        </w:rPr>
      </w:pPr>
    </w:p>
    <w:p w14:paraId="50000000">
      <w:pPr>
        <w:pStyle w:val="Style_2"/>
        <w:spacing w:after="68" w:line="360" w:lineRule="auto"/>
        <w:ind w:firstLine="709"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4657725" cy="273367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657725" cy="27336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1000000">
      <w:pPr>
        <w:ind/>
        <w:jc w:val="center"/>
      </w:pPr>
      <w:r>
        <w:rPr>
          <w:rFonts w:ascii="Times New Roman" w:hAnsi="Times New Roman"/>
          <w:sz w:val="28"/>
        </w:rPr>
        <w:t>Рисунок 5 – Общий вид сцены</w:t>
      </w:r>
    </w:p>
    <w:p w14:paraId="52000000"/>
    <w:p w14:paraId="53000000">
      <w:pPr>
        <w:pStyle w:val="Style_1"/>
      </w:pPr>
      <w:r>
        <w:t>3.</w:t>
      </w:r>
      <w:r>
        <w:t>1.</w:t>
      </w:r>
      <w:r>
        <w:t>2 Проектирование и разработка приложения для оценки работы методов фильтрации</w:t>
      </w:r>
    </w:p>
    <w:p w14:paraId="54000000"/>
    <w:p w14:paraId="55000000">
      <w:r>
        <w:t xml:space="preserve">Приложение предназначено для оценки метода фильтрации. Блок-схема работы приложения представлена на рисунке 6. </w:t>
      </w:r>
    </w:p>
    <w:p w14:paraId="56000000"/>
    <w:p w14:paraId="57000000">
      <w:pPr>
        <w:ind/>
        <w:jc w:val="center"/>
      </w:pPr>
      <w:r>
        <w:drawing>
          <wp:inline>
            <wp:extent cx="1181099" cy="427672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181099" cy="42767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ind/>
        <w:jc w:val="center"/>
      </w:pPr>
      <w:r>
        <w:t xml:space="preserve">Рисунок 6 – </w:t>
      </w:r>
      <w:r>
        <w:t>Блок-схема</w:t>
      </w:r>
      <w:r>
        <w:t xml:space="preserve"> работы приложения</w:t>
      </w:r>
    </w:p>
    <w:p w14:paraId="59000000">
      <w:pPr>
        <w:ind/>
        <w:jc w:val="center"/>
      </w:pPr>
    </w:p>
    <w:p w14:paraId="5A000000">
      <w:pPr>
        <w:ind/>
        <w:jc w:val="both"/>
      </w:pPr>
      <w:r>
        <w:t xml:space="preserve">Отношение сигнал/шум </w:t>
      </w:r>
      <w:r>
        <w:t>дает меру уровня информационного отношения мощности сигнала (т. е. исходного, неискаженного изображения) к уровню мощности шума. Изображения с низким шумом будут иметь большое значение SNR (1), а те же изображения с высоким уровнем шума — малое значение SNR. Само по себе данное соотношение имеет ограниченное значение, но оно является важной метрикой, используемой для описания характеристик алгоритмов восстановления.</w:t>
      </w:r>
    </w:p>
    <w:p w14:paraId="5B000000">
      <w:pPr>
        <w:ind/>
        <w:jc w:val="both"/>
      </w:pPr>
    </w:p>
    <w:p w14:paraId="5C000000">
      <w:pPr>
        <w:ind/>
        <w:jc w:val="center"/>
      </w:pPr>
      <w:r>
        <w:drawing>
          <wp:inline>
            <wp:extent cx="3171430" cy="819048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3171430" cy="819048"/>
                    </a:xfrm>
                    <a:prstGeom prst="rect"/>
                  </pic:spPr>
                </pic:pic>
              </a:graphicData>
            </a:graphic>
          </wp:inline>
        </w:drawing>
      </w:r>
      <w:r>
        <w:t>(1)</w:t>
      </w:r>
    </w:p>
    <w:p w14:paraId="5D000000">
      <w:pPr>
        <w:ind/>
        <w:jc w:val="both"/>
      </w:pPr>
      <w:r>
        <w:t xml:space="preserve">где </w:t>
      </w:r>
      <w:r>
        <w:drawing>
          <wp:inline>
            <wp:extent cx="468312" cy="17462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68312" cy="17462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- </w:t>
      </w:r>
      <w:r>
        <w:t>энергетический спектр неискаженного изображения</w:t>
      </w:r>
      <w:r>
        <w:t>;</w:t>
      </w:r>
    </w:p>
    <w:p w14:paraId="5E000000">
      <w:pPr>
        <w:ind/>
        <w:jc w:val="both"/>
      </w:pPr>
      <w:r>
        <w:drawing>
          <wp:inline>
            <wp:extent cx="547687" cy="198437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47687" cy="19843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- </w:t>
      </w:r>
      <w:r>
        <w:t>энергетический спектр неискаженного изображения.</w:t>
      </w:r>
    </w:p>
    <w:p w14:paraId="5F000000"/>
    <w:p w14:paraId="60000000">
      <w:pPr>
        <w:spacing w:line="360" w:lineRule="auto"/>
        <w:ind w:firstLine="709" w:left="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</w:rPr>
        <w:t xml:space="preserve">На основе результатов работы приложения по оценке </w:t>
      </w:r>
      <w:r>
        <w:rPr>
          <w:rFonts w:ascii="Times New Roman" w:hAnsi="Times New Roman"/>
        </w:rPr>
        <w:t>пикового отношения, был выбран ме</w:t>
      </w:r>
      <w:r>
        <w:rPr>
          <w:rFonts w:ascii="Times New Roman" w:hAnsi="Times New Roman"/>
          <w:color w:val="000000"/>
        </w:rPr>
        <w:t>тод фильтрации данных - скользящее среднее. Полученные результаты показали, что этот метод обеспечивает достаточное снижение уровня шума и сохранение структуры данных на карте вершин с яйцами. Пример рабо</w:t>
      </w:r>
      <w:r>
        <w:rPr>
          <w:rFonts w:ascii="Times New Roman" w:hAnsi="Times New Roman"/>
          <w:color w:val="000000"/>
          <w:sz w:val="28"/>
        </w:rPr>
        <w:t>ты программы представлен не рисунке 6.</w:t>
      </w:r>
    </w:p>
    <w:p w14:paraId="61000000">
      <w:pPr>
        <w:spacing w:line="360" w:lineRule="auto"/>
        <w:ind w:firstLine="709" w:left="0"/>
        <w:rPr>
          <w:rFonts w:ascii="Times New Roman" w:hAnsi="Times New Roman"/>
          <w:color w:val="000000"/>
          <w:sz w:val="28"/>
        </w:rPr>
      </w:pPr>
    </w:p>
    <w:p w14:paraId="62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</w:rPr>
        <w:drawing>
          <wp:inline>
            <wp:extent cx="1796141" cy="3027589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796141" cy="302758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spacing w:line="360" w:lineRule="auto"/>
        <w:ind w:firstLine="709" w:left="0"/>
        <w:jc w:val="center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Рисунок 6 – результат работы приложения по оценке </w:t>
      </w:r>
      <w:r>
        <w:rPr>
          <w:rFonts w:ascii="Times New Roman" w:hAnsi="Times New Roman"/>
          <w:color w:val="000000"/>
        </w:rPr>
        <w:t>пикового отношения</w:t>
      </w:r>
    </w:p>
    <w:p w14:paraId="64000000">
      <w:pPr>
        <w:spacing w:line="360" w:lineRule="auto"/>
        <w:ind w:firstLine="709" w:left="0"/>
        <w:jc w:val="center"/>
        <w:rPr>
          <w:rFonts w:ascii="Times New Roman" w:hAnsi="Times New Roman"/>
          <w:color w:val="FF0000"/>
          <w:sz w:val="28"/>
        </w:rPr>
      </w:pPr>
    </w:p>
    <w:p w14:paraId="65000000">
      <w:pPr>
        <w:spacing w:line="360" w:lineRule="auto"/>
        <w:ind w:firstLine="709" w:left="0"/>
        <w:jc w:val="both"/>
        <w:rPr>
          <w:rFonts w:ascii="Times New Roman" w:hAnsi="Times New Roman"/>
          <w:color w:val="FF0000"/>
          <w:sz w:val="28"/>
        </w:rPr>
      </w:pPr>
      <w:r>
        <w:rPr>
          <w:rFonts w:ascii="Times New Roman" w:hAnsi="Times New Roman"/>
        </w:rPr>
        <w:t>Также следует отметить, что для каждой предметной области необходимо использовать свой метод фильтрации, чтобы обеспечить наилучший результат и оптимальное пиковое отношение сигнала к шуму в каждом конкретном случае.</w:t>
      </w:r>
    </w:p>
    <w:p w14:paraId="66000000">
      <w:pPr>
        <w:pStyle w:val="Style_1"/>
      </w:pPr>
      <w:r>
        <w:t>3.</w:t>
      </w:r>
      <w:r>
        <w:t>1.</w:t>
      </w:r>
      <w:r>
        <w:t>3 Проектирование и разработка приложения для оценки работы алгоритма</w:t>
      </w:r>
    </w:p>
    <w:p w14:paraId="67000000"/>
    <w:p w14:paraId="68000000">
      <w:r>
        <w:t xml:space="preserve">Приложение предназначено для оценки работы алгоритма с заданным уровнем шума. Блок-схема работы приложения представлена на рисунке 7. </w:t>
      </w:r>
    </w:p>
    <w:p w14:paraId="69000000"/>
    <w:p w14:paraId="6A000000">
      <w:pPr>
        <w:ind/>
        <w:jc w:val="center"/>
      </w:pPr>
    </w:p>
    <w:p w14:paraId="6B000000">
      <w:pPr>
        <w:ind/>
        <w:jc w:val="center"/>
      </w:pPr>
      <w:r>
        <w:t>Рисунок 7 – Блок-схема работы алгоритма</w:t>
      </w:r>
    </w:p>
    <w:p w14:paraId="6C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Прило</w:t>
      </w:r>
      <w:r>
        <w:rPr>
          <w:rFonts w:ascii="Times New Roman" w:hAnsi="Times New Roman"/>
          <w:color w:val="000000"/>
          <w:sz w:val="28"/>
        </w:rPr>
        <w:t>ж</w:t>
      </w:r>
      <w:r>
        <w:rPr>
          <w:rFonts w:ascii="Times New Roman" w:hAnsi="Times New Roman"/>
          <w:color w:val="000000"/>
          <w:sz w:val="28"/>
        </w:rPr>
        <w:t>ение Читает бинарный файл, структура которого представлен</w:t>
      </w:r>
      <w:r>
        <w:rPr>
          <w:rFonts w:ascii="Times New Roman" w:hAnsi="Times New Roman"/>
          <w:color w:val="000000"/>
          <w:sz w:val="28"/>
        </w:rPr>
        <w:t>а на р</w:t>
      </w:r>
      <w:r>
        <w:rPr>
          <w:rFonts w:ascii="Times New Roman" w:hAnsi="Times New Roman"/>
          <w:color w:val="000000"/>
          <w:sz w:val="28"/>
        </w:rPr>
        <w:t xml:space="preserve">исунке 4. Для генерации шума было </w:t>
      </w:r>
      <w:r>
        <w:rPr>
          <w:rFonts w:ascii="Times New Roman" w:hAnsi="Times New Roman"/>
          <w:color w:val="000000"/>
          <w:sz w:val="28"/>
        </w:rPr>
        <w:t>использовано равномерное распределение.</w:t>
      </w:r>
    </w:p>
    <w:p w14:paraId="6D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</w:p>
    <w:p w14:paraId="6E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</w:rPr>
        <w:drawing>
          <wp:inline>
            <wp:extent cx="2381250" cy="3481916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2381250" cy="34819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Рисунок N – Общий вид приложения</w:t>
      </w:r>
    </w:p>
    <w:p w14:paraId="70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блоке "Параметры файла" выводится общая информация из бинарного файла. пример открытого файла представлен на рисунке N.</w:t>
      </w:r>
    </w:p>
    <w:p w14:paraId="71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</w:p>
    <w:p w14:paraId="72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</w:rPr>
        <w:drawing>
          <wp:inline>
            <wp:extent cx="2762250" cy="1778000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276225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Рисунок N – О</w:t>
      </w:r>
      <w:r>
        <w:rPr>
          <w:rFonts w:ascii="Times New Roman" w:hAnsi="Times New Roman"/>
          <w:color w:val="000000"/>
          <w:sz w:val="28"/>
        </w:rPr>
        <w:t>бщая информация из бинарного файла</w:t>
      </w:r>
    </w:p>
    <w:p w14:paraId="74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</w:p>
    <w:p w14:paraId="75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блоке "Переменные" отображается порог обнаружения и переменные для работы алгоритма:</w:t>
      </w:r>
    </w:p>
    <w:p w14:paraId="76000000">
      <w:pPr>
        <w:numPr>
          <w:numId w:val="1"/>
        </w:num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entry - порог обнаружения;</w:t>
      </w:r>
    </w:p>
    <w:p w14:paraId="77000000">
      <w:pPr>
        <w:numPr>
          <w:numId w:val="1"/>
        </w:num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egg - базовый размер яйца на основе которого будет расчитываться </w:t>
      </w:r>
      <w:r>
        <w:rPr>
          <w:rFonts w:ascii="Times New Roman" w:hAnsi="Times New Roman"/>
          <w:color w:val="000000"/>
          <w:sz w:val="28"/>
        </w:rPr>
        <w:t>порог обнаружения;</w:t>
      </w:r>
    </w:p>
    <w:p w14:paraId="78000000">
      <w:pPr>
        <w:numPr>
          <w:numId w:val="1"/>
        </w:num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percEntr – процент от базового размера яйца для расчета </w:t>
      </w:r>
      <w:r>
        <w:rPr>
          <w:rFonts w:ascii="Times New Roman" w:hAnsi="Times New Roman"/>
          <w:color w:val="000000"/>
          <w:sz w:val="28"/>
        </w:rPr>
        <w:t>порога обнаружения;</w:t>
      </w:r>
    </w:p>
    <w:p w14:paraId="79000000">
      <w:pPr>
        <w:numPr>
          <w:numId w:val="1"/>
        </w:num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koefEggV - </w:t>
      </w:r>
      <w:r>
        <w:rPr>
          <w:rFonts w:ascii="Times New Roman" w:hAnsi="Times New Roman"/>
        </w:rPr>
        <w:t xml:space="preserve">количество объектов будет основываться статистика по формуле </w:t>
      </w:r>
      <w:r>
        <w:rPr>
          <w:rFonts w:ascii="Times New Roman" w:hAnsi="Times New Roman"/>
          <w:color w:val="000000"/>
          <w:sz w:val="28"/>
        </w:rPr>
        <w:t>N;</w:t>
      </w:r>
    </w:p>
    <w:p w14:paraId="7A000000">
      <w:pPr>
        <w:numPr>
          <w:numId w:val="1"/>
        </w:num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koefPorog - </w:t>
      </w:r>
      <w:r>
        <w:rPr>
          <w:rFonts w:ascii="Times New Roman" w:hAnsi="Times New Roman"/>
          <w:sz w:val="28"/>
        </w:rPr>
        <w:t>коэффициент деления по</w:t>
      </w:r>
      <w:r>
        <w:rPr>
          <w:rFonts w:ascii="Times New Roman" w:hAnsi="Times New Roman"/>
        </w:rPr>
        <w:t xml:space="preserve"> формуле </w:t>
      </w:r>
      <w:r>
        <w:rPr>
          <w:rFonts w:ascii="Times New Roman" w:hAnsi="Times New Roman"/>
          <w:color w:val="000000"/>
          <w:sz w:val="28"/>
        </w:rPr>
        <w:t>N.</w:t>
      </w:r>
    </w:p>
    <w:p w14:paraId="7B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</w:rPr>
        <w:t>Пример работы программы программы п</w:t>
      </w:r>
      <w:r>
        <w:rPr>
          <w:rFonts w:ascii="Times New Roman" w:hAnsi="Times New Roman"/>
          <w:color w:val="000000"/>
          <w:sz w:val="28"/>
        </w:rPr>
        <w:t>редставлен на рисунке N.</w:t>
      </w:r>
    </w:p>
    <w:p w14:paraId="7C000000">
      <w:pPr>
        <w:spacing w:line="360" w:lineRule="auto"/>
        <w:ind w:firstLine="709" w:left="0"/>
        <w:jc w:val="both"/>
        <w:rPr>
          <w:rFonts w:ascii="Times New Roman" w:hAnsi="Times New Roman"/>
          <w:color w:val="000000"/>
          <w:sz w:val="28"/>
        </w:rPr>
      </w:pPr>
    </w:p>
    <w:p w14:paraId="7D000000">
      <w:pPr>
        <w:spacing w:line="360" w:lineRule="auto"/>
        <w:ind w:firstLine="709" w:left="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</w:rPr>
        <w:drawing>
          <wp:inline>
            <wp:extent cx="3397250" cy="4952999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3397250" cy="49529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r>
        <w:rPr>
          <w:rFonts w:ascii="Times New Roman" w:hAnsi="Times New Roman"/>
          <w:color w:val="000000"/>
          <w:sz w:val="28"/>
        </w:rPr>
        <w:t>Рисунок N – Пример работы программы</w:t>
      </w:r>
    </w:p>
    <w:p w14:paraId="7F000000">
      <w:r>
        <w:t>- чтение данных</w:t>
      </w:r>
    </w:p>
    <w:p w14:paraId="80000000">
      <w:r>
        <w:t>- вывод изображения</w:t>
      </w:r>
    </w:p>
    <w:p w14:paraId="81000000">
      <w:r>
        <w:t>- метод фильтрации</w:t>
      </w:r>
    </w:p>
    <w:p w14:paraId="82000000">
      <w:r>
        <w:t>- все классы и методы</w:t>
      </w:r>
    </w:p>
    <w:p w14:paraId="83000000">
      <w:r>
        <w:t>- небольшой результат</w:t>
      </w:r>
    </w:p>
    <w:p w14:paraId="84000000"/>
    <w:p w14:paraId="85000000">
      <w:pPr>
        <w:pStyle w:val="Style_1"/>
      </w:pPr>
      <w:r>
        <w:t xml:space="preserve">3.2 </w:t>
      </w:r>
      <w:r>
        <w:t>Анализ результатов эксперимента</w:t>
      </w:r>
    </w:p>
    <w:p w14:paraId="86000000"/>
    <w:p w14:paraId="87000000">
      <w:pPr>
        <w:pStyle w:val="Style_1"/>
      </w:pPr>
      <w:r>
        <w:t xml:space="preserve">3.3 </w:t>
      </w:r>
      <w:r>
        <w:t>Формирование рекомендаций</w:t>
      </w:r>
    </w:p>
    <w:p w14:paraId="88000000"/>
    <w:p w14:paraId="89000000">
      <w:pPr>
        <w:pStyle w:val="Style_1"/>
      </w:pPr>
      <w:r>
        <w:t xml:space="preserve">3.4 </w:t>
      </w:r>
      <w:r>
        <w:t>Выводы по главе.</w:t>
      </w:r>
    </w:p>
    <w:p w14:paraId="8A000000"/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numFmt w:val="bullet"/>
      <w:lvlText w:val="-"/>
      <w:pPr>
        <w:ind w:hanging="360" w:left="720"/>
      </w:pPr>
      <w:rPr>
        <w:rFonts w:ascii="Calibri" w:hAnsi="Calibri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-"/>
      <w:pPr>
        <w:ind w:hanging="360" w:left="2880"/>
      </w:pPr>
      <w:rPr>
        <w:rFonts w:ascii="Calibri" w:hAnsi="Calibri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-"/>
      <w:pPr>
        <w:ind w:hanging="360" w:left="5040"/>
      </w:pPr>
      <w:rPr>
        <w:rFonts w:ascii="Calibri" w:hAnsi="Calibri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  <w:pPr>
      <w:spacing w:after="0" w:line="360" w:lineRule="auto"/>
      <w:ind w:firstLine="709" w:left="0"/>
      <w:jc w:val="both"/>
    </w:pPr>
    <w:rPr>
      <w:rFonts w:ascii="Times New Roman" w:hAnsi="Times New Roman"/>
      <w:sz w:val="28"/>
    </w:rPr>
  </w:style>
  <w:style w:default="1" w:styleId="Style_2_ch" w:type="character">
    <w:name w:val="Normal"/>
    <w:link w:val="Style_2"/>
    <w:rPr>
      <w:rFonts w:ascii="Times New Roman" w:hAnsi="Times New Roman"/>
      <w:sz w:val="28"/>
    </w:rPr>
  </w:style>
  <w:style w:styleId="Style_3" w:type="paragraph">
    <w:name w:val="toc 2"/>
    <w:next w:val="Style_2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2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2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2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" w:type="paragraph">
    <w:name w:val="heading 1"/>
    <w:basedOn w:val="Style_2"/>
    <w:next w:val="Style_2"/>
    <w:link w:val="Style_1_ch"/>
    <w:uiPriority w:val="9"/>
    <w:qFormat/>
    <w:pPr>
      <w:keepNext w:val="1"/>
      <w:keepLines w:val="1"/>
      <w:ind/>
      <w:outlineLvl w:val="0"/>
    </w:pPr>
    <w:rPr>
      <w:b w:val="1"/>
    </w:rPr>
  </w:style>
  <w:style w:styleId="Style_1_ch" w:type="character">
    <w:name w:val="heading 1"/>
    <w:basedOn w:val="Style_2_ch"/>
    <w:link w:val="Style_1"/>
    <w:rPr>
      <w:b w:val="1"/>
    </w:rPr>
  </w:style>
  <w:style w:styleId="Style_10" w:type="paragraph">
    <w:name w:val="List Paragraph"/>
    <w:basedOn w:val="Style_2"/>
    <w:link w:val="Style_10_ch"/>
    <w:pPr>
      <w:ind w:firstLine="0" w:left="720"/>
      <w:contextualSpacing w:val="1"/>
    </w:pPr>
  </w:style>
  <w:style w:styleId="Style_10_ch" w:type="character">
    <w:name w:val="List Paragraph"/>
    <w:basedOn w:val="Style_2_ch"/>
    <w:link w:val="Style_10"/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2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2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2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2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2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2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2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Default Paragraph Font"/>
    <w:link w:val="Style_21_ch"/>
  </w:style>
  <w:style w:styleId="Style_21_ch" w:type="character">
    <w:name w:val="Default Paragraph Font"/>
    <w:link w:val="Style_21"/>
  </w:style>
  <w:style w:styleId="Style_22" w:type="paragraph">
    <w:name w:val="heading 2"/>
    <w:next w:val="Style_2"/>
    <w:link w:val="Style_22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2_ch" w:type="character">
    <w:name w:val="heading 2"/>
    <w:link w:val="Style_22"/>
    <w:rPr>
      <w:rFonts w:ascii="XO Thames" w:hAnsi="XO Thames"/>
      <w:b w:val="1"/>
      <w:sz w:val="28"/>
    </w:rPr>
  </w:style>
  <w:style w:default="1" w:styleId="Style_2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fontTable.xml" Type="http://schemas.openxmlformats.org/officeDocument/2006/relationships/fontTable"/>
  <Relationship Id="rId11" Target="media/11.png" Type="http://schemas.openxmlformats.org/officeDocument/2006/relationships/image"/>
  <Relationship Id="rId18" Target="theme/theme1.xml" Type="http://schemas.openxmlformats.org/officeDocument/2006/relationships/theme"/>
  <Relationship Id="rId17" Target="webSettings.xml" Type="http://schemas.openxmlformats.org/officeDocument/2006/relationships/webSettings"/>
  <Relationship Id="rId10" Target="media/10.png" Type="http://schemas.openxmlformats.org/officeDocument/2006/relationships/image"/>
  <Relationship Id="rId15" Target="styles.xml" Type="http://schemas.openxmlformats.org/officeDocument/2006/relationships/styles"/>
  <Relationship Id="rId9" Target="media/9.png" Type="http://schemas.openxmlformats.org/officeDocument/2006/relationships/image"/>
  <Relationship Id="rId19" Target="numbering.xml" Type="http://schemas.openxmlformats.org/officeDocument/2006/relationships/numbering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settings.xml" Type="http://schemas.openxmlformats.org/officeDocument/2006/relationships/setting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stylesWithEffects.xml" Type="http://schemas.microsoft.com/office/2007/relationships/stylesWithEffects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2024-04-24T12:28:56Z</dcterms:modified>
</cp:coreProperties>
</file>