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Прикладные задачи машинного обучения</w:t>
      </w:r>
    </w:p>
    <w:p>
      <w:pPr>
        <w:pStyle w:val="Title"/>
      </w:pPr>
      <w:r>
        <w:t>Лабораторная работа 2</w:t>
      </w:r>
    </w:p>
    <w:p>
      <w:pPr>
        <w:pStyle w:val="Title"/>
      </w:pPr>
      <w:r>
        <w:t>Мультимодальные модели в предметной области ВКР</w:t>
      </w:r>
    </w:p>
    <w:p>
      <w:r>
        <w:rPr>
          <w:b/>
        </w:rPr>
        <w:t>Прогноз направления доходности по финансовым заголовкам и истории котировок</w:t>
      </w:r>
    </w:p>
    <w:p>
      <w:r>
        <w:rPr>
          <w:b w:val="0"/>
        </w:rPr>
        <w:t>Студент 4 курса прикладной математики</w:t>
        <w:br/>
        <w:t>Группа ПМ23-2</w:t>
        <w:br/>
        <w:t>18 октября 2026 года</w:t>
      </w:r>
    </w:p>
    <w:p>
      <w:pPr>
        <w:pStyle w:val="Heading1"/>
      </w:pPr>
      <w:r>
        <w:t>Результат работы</w:t>
      </w:r>
    </w:p>
    <w:p>
      <w:r>
        <w:rPr>
          <w:b w:val="0"/>
        </w:rPr>
        <w:t>Выполнен реальный CPU-эксперимент на 3 925 объектах для 453 акций. Сравнены восемь схем, проведены абляции, проверка пропусков, блочный bootstrap и перестановочный тест. Мультимодальное слияние не подтвердило прирост: на validation подбор весов отказался от текста и графика и оставил только числа.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896"/>
      </w:tblGrid>
      <w:tr>
        <w:trPr>
          <w:tblHeader/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Ключевой показатель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Числовой baseline на test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Macro F1 0,500; AUROC 0,503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Лучший F1 на test описательно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Image only 0,512; модель не выбиралась по test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Выбранная схема late weighted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Веса T N I равны 0 1 0; прирост 0,000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Настоящее early fusion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Macro F1 0,487; Δ к числам −0,013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Статистический вывод</w:t>
            </w:r>
          </w:p>
        </w:tc>
        <w:tc>
          <w:tcPr>
            <w:tcW w:type="dxa" w:w="5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Положительный прирост fusion не подтверждён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Все значения получены из сохранённых запусков. Демонстрационные результаты методички не использовались. Исполняемые файлы ВКР и лабораторной работы 1 не изменялись.</w:t>
      </w:r>
    </w:p>
    <w:p>
      <w:pPr>
        <w:pStyle w:val="Heading1"/>
        <w:pageBreakBefore/>
      </w:pPr>
      <w:r>
        <w:t>1 Постановка задачи и связь с ВКР</w:t>
      </w:r>
    </w:p>
    <w:p>
      <w:r>
        <w:rPr>
          <w:b w:val="0"/>
        </w:rPr>
        <w:t>Тема ВКР — разработка языковой модели для многошагового взаимодействия с поисковыми инструментами агентной системы. В репозитории ВКР зафиксированы MIRACL ru, обучение на поисковых траекториях и перспектива SFT/QLoRA. Исполняемого retrieval-прототипа пока нет. Эта лабораторная представляет самостоятельный эксперимент с финансовыми свидетельствами.</w:t>
      </w:r>
    </w:p>
    <w:p>
      <w:r>
        <w:rPr>
          <w:b w:val="0"/>
        </w:rPr>
        <w:t>Связь с ВКР заключается в выборе релевантных текстовых свидетельств, сохранении источника и времени доступности и объединении свидетельств с другими представлениями. В перспективе мультимодальный RAG может извлекать новости, таблицы и графики по тикеру и дате. Здесь retrieval-агент и LLM не реализуются; MIRACL не подходит для финансовой цели и не подменяет данные лабораторной.</w:t>
      </w:r>
    </w:p>
    <w:p>
      <w:r>
        <w:rPr>
          <w:b w:val="0"/>
        </w:rPr>
        <w:t>Момент решения — закрытие NYSE в день t. Цель y = 1, если AdjClose(t+1) / AdjClose(t) − 1 &gt; 0, иначе y = 0. Нулевая доходность относится к классу 0. Следующий день означает следующую торговую сессию. Оценка условна на наличии хотя бы одного заголовка в опубликованной выборке.</w:t>
      </w:r>
    </w:p>
    <w:p>
      <w:r>
        <w:rPr>
          <w:b w:val="0"/>
        </w:rPr>
        <w:t>Личная гипотеза: слияние T N I повысит Macro F1 минимум на 0,03 относительно лучшего unimodal baseline, выбранного на validation. Основной критерий — Macro F1; положительный эффект должен иметь блочный 95% интервал выше нуля и односторонний p &lt; 0,05 после Holm. Порог вероятности фиксирован: 0,5.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blHeader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Поле объекта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Идентификатор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sample_id = ticker + дата сессии; article_ids сохраняют происхождение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Текст T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Все уникальные title из интервала между предыдущим и текущим закрытием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Время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publication_min и publication_max в UTC; cutoff_utc — закрытие XNYS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Числа N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20 пятикомпонентных наблюдений OHLCV; для первого изменения нужна опорная 21-я дата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Изображение I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20 свечей и объём по прошлому окну без подписей и будущих цен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Цель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target_date, target_return, бинарный y; эти поля не используются в признаках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Схема обработки: заголовок и тикер → биржевой календарь → объект на закрытии → T N I → классификатор → вероятность роста следующей сессии. Работа выполнена индивидуально; общий результат и все эксперименты относятся к одному исполнителю.</w:t>
      </w:r>
    </w:p>
    <w:p>
      <w:pPr>
        <w:pStyle w:val="Heading1"/>
        <w:pageBreakBefore/>
      </w:pPr>
      <w:r>
        <w:t>2 Аналитический обзор</w:t>
      </w:r>
    </w:p>
    <w:p>
      <w:r>
        <w:rPr>
          <w:b w:val="0"/>
        </w:rPr>
        <w:t>Рассмотрены 15 научных работ [1–15]. Полные структурированные карточки и расширенный обзор находятся в research/literature.json и research/literature.md. В следующих таблицах сопоставлены архитектуры, данные, метрики, ограничения и доступность реализации. Численные результаты чужих задач не переносятся на нашу выборку.</w:t>
      </w:r>
    </w:p>
    <w:p>
      <w:r>
        <w:rPr>
          <w:b w:val="0"/>
        </w:rPr>
        <w:t>CLIP [1] обучает общее пространство текста и изображения контрастивно. Flamingo [2] и BLIP-2 [3] показывают, как связывать визуальные признаки с языковой моделью через cross-attention или Q-Former и замораживать дорогие компоненты. Их результаты на VQA и captioning не доказывают способность предсказывать доходность по свечам. Для учебной CPU-проверки выбраны простые фиксированные представления и обучаемые головы.</w:t>
      </w:r>
    </w:p>
    <w:p>
      <w:r>
        <w:rPr>
          <w:b w:val="0"/>
        </w:rPr>
        <w:t>TAPAS [4] сохраняет структуру таблицы, тогда как Time-LLM [5] и LLMTime [6] исследуют перенос языковых моделей на числовые последовательности. Из этих работ следует, что формат представления и протокол оценки являются частью модели. В нашей постановке последовательность сохраняется в порядке 20 сессий; график — альтернативное представление тех же наблюдений.</w:t>
      </w:r>
    </w:p>
    <w:p>
      <w:r>
        <w:rPr>
          <w:b w:val="0"/>
        </w:rPr>
        <w:t>MulT [7] использует направленное межмодальное внимание при несогласованных последовательностях; TFN [8] моделирует взаимодействия модальностей через тензорное произведение. Эти решения мотивируют сравнение early, late и intermediate fusion. Реализованное внимание ограничено тремя векторными токенами и общей обучаемой query: это attention pooling, а не полноценный MulT или cross-attention между токенами заголовка и свечами.</w:t>
      </w:r>
    </w:p>
    <w:p>
      <w:r>
        <w:rPr>
          <w:b w:val="0"/>
        </w:rPr>
        <w:t>StockNet [9] непосредственно объединяет текстовые сообщения и рыночную историю. FinTral [10] исследует финансовые мультимодальные LLM, а FinDVer [11] — проверку утверждений с поиском evidence в документах смешанного состава. ChartQA [12] демонстрирует необходимость численного и визуального рассуждения по графикам. Эти задачи различаются по целям и не образуют готового единого benchmark для next-day direction.</w:t>
      </w:r>
    </w:p>
    <w:p>
      <w:r>
        <w:rPr>
          <w:b w:val="0"/>
        </w:rPr>
        <w:t>Gradient Blending [13], анализ unimodal bias [14] и работа об early fusion [15] объясняют, почему сильная отдельная модальность может доминировать, а добавление входов — ухудшать обобщение. Поэтому полезность проверяется по абляциям и отдельным baseline, а не по названию архитектуры. Восстановление другой модальности по отсутствующей здесь не выполняется.</w:t>
      </w:r>
    </w:p>
    <w:p>
      <w:r>
        <w:rPr>
          <w:b w:val="0"/>
        </w:rPr>
        <w:t>Исследовательский разрыв: на ограниченной выборке новостей недостаточно показать высокую общую метрику. Требуется проверить, добавляет ли визуализация цен пользу сверх исходного ряда при одном временном split, причинной синхронизации и учёте зависимости наблюдений. Если I = g(N), изображение не создаёт нового финансового свидетельства; возможный выигрыш объяснялся бы представлением и индуктивным смещением.</w:t>
      </w:r>
    </w:p>
    <w:p>
      <w:r>
        <w:rPr>
          <w:b w:val="0"/>
        </w:rPr>
        <w:t>У FinDVer различаются версии: ACL landing page и arXiv v1 сообщают разные размеры benchmark. В расширенном обзоре версии явно разделены; сводная матрица не объединяет их показатели. Эта проверка исключает некорректное сравнение несогласованных публикаций.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Сравнительная матрица исследований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721"/>
        <w:gridCol w:w="2665"/>
        <w:gridCol w:w="1701"/>
        <w:gridCol w:w="3118"/>
        <w:gridCol w:w="3175"/>
      </w:tblGrid>
      <w:tr>
        <w:trPr>
          <w:tblHeader/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Работа и входы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Архитектура и fusion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Данные и задача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Метрики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Воспроизводимость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[1] Radford</w:t>
              <w:br/>
              <w:t>2021</w:t>
              <w:br/>
              <w:t>text, image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Два энкодера изображения и текста; симметричная контрастивная цель.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400 млн интернет-пар изображение–текст; перенос на более 30 визуальных наборов.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zero-shot top-1 accuracy, image-text retrieval recall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Совпадение текста и изображения не равно численному прогнозу; графики финансов — другой домен.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Код и веса опубликованы; исходный полный обучающий корпус недоступен как готовый воспроизводимый набор.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[2] Alayrac</w:t>
              <w:br/>
              <w:t>2022</w:t>
              <w:br/>
              <w:t>text, image, video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Замороженные визуальный энкодер и LM; Perceiver Resampler и обучаемые gated cross-attention слои.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M3W, LTIP, ALIGN, VTP; image/video question answering и captioning.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VQA accuracy, CIDEr, classification accuracy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Масштабные закрытые данные и веса ограничивают повторение оригинала; few-shot visual QA не эквивалентно прогнозу рынка.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Архитектура описана; оригинальная полная система не является открытым воспроизводимым baseline.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[3] Li</w:t>
              <w:br/>
              <w:t>2023</w:t>
              <w:br/>
              <w:t>text, image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Q-Former соединяет замороженный image encoder с замороженной LLM; двухэтапное обучение.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Image-text pretraining; VQAv2, image captioning и image-text retrieval.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VQA score, CIDEr, retrieval recall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Качество общего VQA не гарантирует чтение точных цен и малых подписей на графике.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Публичные модели и реализация LAVIS; повторение полного предобучения существенно дороже инференса.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[4] Herzig</w:t>
              <w:br/>
              <w:t>2020</w:t>
              <w:br/>
              <w:t>text, table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BERT с табличными embeddings; выбор ячеек и операции агрегации без генерации логической формы.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Таблицы Wikipedia; SQA, WikiSQL, WikiTQ.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denotation accuracy, sequence accuracy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Ограниченные операции и длина таблицы; вопрос–ответ по известным значениям не есть экстраполяция временного ряда.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Код, модели и инструкции доступны.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[5] Jin</w:t>
              <w:br/>
              <w:t>2024</w:t>
              <w:br/>
              <w:t>time_series, text_prompt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Числовые patches перепрограммируются через текстовые prototypes; Prompt-as-Prefix; frozen LLM и выходная проекция.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ETT, Electricity, Traffic, Weather, ILI, M4 и другие forecasting benchmarks.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MSE, MAE, SMAPE, MASE, OWA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Промпт не обязательно содержит независимые новости; требуются обучение адаптера и существенная память; результаты одного режима не переносятся на zero-shot.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Код доступен; статья сообщает три повтора и A100-80G.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Метрики перечислены в постановке авторов. Их абсолютные значения нельзя напрямую сравнивать между разными задачами.</w:t>
      </w:r>
    </w:p>
    <w:p>
      <w:r>
        <w:br w:type="page"/>
      </w:r>
    </w:p>
    <w:p>
      <w:pPr>
        <w:pStyle w:val="Heading1"/>
      </w:pPr>
      <w:r>
        <w:t>Сравнительная матрица исследований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721"/>
        <w:gridCol w:w="2665"/>
        <w:gridCol w:w="1701"/>
        <w:gridCol w:w="3118"/>
        <w:gridCol w:w="3175"/>
      </w:tblGrid>
      <w:tr>
        <w:trPr>
          <w:tblHeader/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Работа и входы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Архитектура и fusion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Данные и задача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Метрики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Воспроизводимость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[6] Gruver</w:t>
              <w:br/>
              <w:t>2023</w:t>
              <w:br/>
              <w:t>time_series_as_text, optional_text_context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LLMTime: нормализация и сериализация чисел в цифры; autoregressive sampling и восстановление непрерывных плотностей.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Darts, подмножество Monash, Informer datasets; синтетические ряды.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MAE, CRPS, negative log-likelihood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Чувствительность к токенизации, калибровке и длине контекста; генерация чисел не является независимой текстовой модальностью.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Код опубликован; повтор старых proprietary API-моделей зависит от их доступности.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[7] Tsai</w:t>
              <w:br/>
              <w:t>2019</w:t>
              <w:br/>
              <w:t>language, vision, audio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MulT: направленный pairwise crossmodal attention для последовательностей с разной частотой.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CMU-MOSI, CMU-MOSEI, IEMOCAP; aligned и unaligned режимы.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accuracy, F1, MAE, correlation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Аудиовизуальная речь отличается от асинхронных финансовых новостей; attention сам по себе не обеспечивает причинную временную доступность.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Авторы опубликовали код.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[8] Zadeh</w:t>
              <w:br/>
              <w:t>2017</w:t>
              <w:br/>
              <w:t>language, vision, audio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Отдельные subnetworks; внешнее произведение дополненных единицей embeddings; prediction head.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CMU-MOSI, анализ сентимента видеовысказываний.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binary accuracy, F1, 5-class accuracy, MAE, correlation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Внешнее произведение резко увеличивает размерность; малые финансовые данные повышают риск переобучения.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Публичная страница авторов со статьёй и ресурсами.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[9] Xu</w:t>
              <w:br/>
              <w:t>2018</w:t>
              <w:br/>
              <w:t>text, historical_prices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StockNet: recurrent variational model, latent factors, temporal auxiliary objective; trading-day alignment.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Твиты и исторические цены 88 акций.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accuracy, Matthews correlation coefficient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Твиты не эквивалентны новостям; равная accuracy мультимодальной и текстовой моделей не доказывает отсутствие/наличие вклада цен по всем метрикам.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Авторы предоставляют отдельные data/code ресурсы; старый стек потребует адаптации.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[10] Bhatia</w:t>
              <w:br/>
              <w:t>2024</w:t>
              <w:br/>
              <w:t>text, numbers, tables, image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Mistral-7B, domain pretraining, instruction tuning/DPO; visual variant с CLIP; tools и retrieval.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FinSet; 25 evaluation datasets, включая FinQA, ChartQA, FinVQA и stock movement tasks.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accuracy, exact match, entity F1, ROUGE, human evaluation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Различаются варианты модели, наличие tools/retrieval и задачи; это не контролируемый factorial T/N/I эксперимент.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Репозиторий авторов открыт; полноту всех весов и корпусов перед запуском нужно проверять отдельно.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Метрики перечислены в постановке авторов. Их абсолютные значения нельзя напрямую сравнивать между разными задачами.</w:t>
      </w:r>
    </w:p>
    <w:p>
      <w:r>
        <w:br w:type="page"/>
      </w:r>
    </w:p>
    <w:p>
      <w:pPr>
        <w:pStyle w:val="Heading1"/>
      </w:pPr>
      <w:r>
        <w:t>Сравнительная матрица исследований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721"/>
        <w:gridCol w:w="2665"/>
        <w:gridCol w:w="1701"/>
        <w:gridCol w:w="3118"/>
        <w:gridCol w:w="3175"/>
      </w:tblGrid>
      <w:tr>
        <w:trPr>
          <w:tblHeader/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Работа и входы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Архитектура и fusion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Данные и задача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Метрики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Воспроизводимость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[11] Zhao</w:t>
              <w:br/>
              <w:t>2024</w:t>
              <w:br/>
              <w:t>text, tables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Benchmark claim verification; сравнение long-context и RAG систем с объяснениями и evidence.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Версия arXiv v1: 2400 claims, три поднабора, 523 исходных SEC-документа. Текущая аннотация ACL указывает 4000 и четыре поднабора: версии не смешивать.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entailment classification accuracy, evidence retrieval recall, manual explanation error analysis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Проверяет claims, не прогнозирует рынок; text/table input. ACL abstract и arXiv v1 различаются по объёму и числу subsets.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Публичны данные, код и разметка теста.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[12] Masry</w:t>
              <w:br/>
              <w:t>2022</w:t>
              <w:br/>
              <w:t>text_question, chart_image, table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VisionTaPas и VL-T5 объединяют визуальные признаки графика и его data table.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9.6 тыс. human-written и 23.1 тыс. generated вопросов по реальным графикам.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relaxed accuracy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Чтение существующего графика отличается от прогноза; OCR и извлечение таблицы вносят ошибки.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Открытые данные и код.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[13] Wang</w:t>
              <w:br/>
              <w:t>2020</w:t>
              <w:br/>
              <w:t>RGB_video, optical_flow, audio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Gradient Blending балансирует модальности с учётом их переобучения и обобщения.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Kinetics, ego-centric action recognition, acoustic event detection.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top-1 accuracy, task-dependent classification metrics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Выводы получены для video classification; финансовый перенос требует эксперимента.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Открытая статья; воспроизводимость исходного полного обучения в этом обзоре не проверялась.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[14] Zhang</w:t>
              <w:br/>
              <w:t>2024</w:t>
              <w:br/>
              <w:t>two_input_streams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Теория динамики обучения deep linear networks; early/intermediate/late fusion; проверки nonlinear сетей.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Синтетические задачи и noisy MNIST.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unimodal phase duration, generalization error, unimodal accuracy learning trajectories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Теоретические гарантии линейного случая не следует автоматически приписывать LLM или финансовому рынку.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Код и полный текст доступны.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[15] Barnum</w:t>
              <w:br/>
              <w:t>2020</w:t>
              <w:br/>
              <w:t>image, audio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Convolutional LSTM с управляемым местом fusion.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Пары MNIST и Free Spoken Digit Dataset с искусственным белым шумом.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classification accuracy over signal-to-noise grid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Искусственные пары цифр и белый шум; результат не даёт универсального ранжирования early/late fusion.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Описаны данные, архитектура и гиперпараметры; ссылка на код в прочитанном PDF не найдена.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Метрики перечислены в постановке авторов. Их абсолютные значения нельзя напрямую сравнивать между разными задачами.</w:t>
      </w:r>
    </w:p>
    <w:p>
      <w:pPr>
        <w:sectPr>
          <w:pgSz w:w="16838" w:h="11906" w:orient="landscape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3 Паспорта исходных наборов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855"/>
        <w:gridCol w:w="3912"/>
      </w:tblGrid>
      <w:tr>
        <w:trPr>
          <w:tblHeader/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Свойство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Финансовые новости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Котировки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Источник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rdolphin Financial News with Ticker Level Sentiment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jacksaleeby S and P500 Historical Data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Версия и доступ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Kaggle v1; получен публичным API без токена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Kaggle v1; получен публичным API без токена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Файл и размер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polygon_news_sample.json; 10 141 272 байта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SP500_Historical_Data.csv; 142 643 767 байт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Фактический объём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5 548 уникальных id; 3 702 символа тикеров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2 703 531 строка; 472 тикера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Период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 января — 31 декабря 2023 UTC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3 января 2000 — 20 февраля 2026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Структура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id, title, description, published_utc, tickers, insights, publisher, ссылки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Ticker, Date, Open, High, Low, Close, Adj Close, Volume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Лицензия карточки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MIT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CC BY-SA 4.0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Происхождение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Выборка Polygon и обработка текста LLM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Yahoo Finance через yfinance; состав индекса на февраль 2026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 статье создателей новостей [18] указано 5 530 записей; в фактически скачанном JSON — 5 548. В расчётах используется файл, идентифицированный SHA-256, а не число из статьи. Manifest хранит URLs, версии, размеры и контрольные суммы обоих архивов и извлечённых файлов.</w:t>
      </w:r>
    </w:p>
    <w:p>
      <w:r>
        <w:rPr>
          <w:b w:val="0"/>
        </w:rPr>
        <w:t>Description является сгенерированным резюме, insights и sentiment также получены обработкой. Эти поля исключены. Title называется заголовком из выпущенного датасета: нельзя доказать побайтное совпадение с исторической версией издателя. Время публикации статьи не гарантирует доступность именно этой версии заголовка и тикерной разметки в тот момент. Явной утечки будущей цены не обнаружено, но исторический provenance ограничен.</w:t>
      </w:r>
    </w:p>
    <w:p>
      <w:r>
        <w:rPr>
          <w:b w:val="0"/>
        </w:rPr>
        <w:t>MIT и CC BY-SA — объявленные лицензии карточек. Они не гарантируют права на все исходные материалы издателей и Yahoo. Ссылки и атрибуция сохранены; изображения статей и полные тексты с сайтов не скачивались. При дальнейшем распространении котировок и производных данных необходимо учитывать ShareAlike и условия поставщиков.</w:t>
      </w:r>
    </w:p>
    <w:p>
      <w:r>
        <w:rPr>
          <w:b w:val="0"/>
        </w:rPr>
        <w:t>Точное пересечение до дедупликации даёт 454 тикера, 2 512 статей с хотя бы одним совпадением и 4 327 пар статья–тикер. Сопоставление выполняется только по точной строке, без fuzzy matching. Наличие нескольких тикеров в статье не означает, что заголовок описывает каждый из них одинаково хорошо.</w:t>
      </w:r>
    </w:p>
    <w:p>
      <w:r>
        <w:rPr>
          <w:b w:val="0"/>
        </w:rPr>
        <w:t>В ценах за 2023 год для выбранных компаний есть 113166 ticker-сессий. У 96,5% отсутствует заголовок именно в случайной опубликованной выборке. Эти дни не превращаются в нейтральные новости и не включаются в основной эксперимент. Отсутствие записи не означает отсутствия реальных публикаций.</w:t>
      </w:r>
    </w:p>
    <w:p>
      <w:pPr>
        <w:pStyle w:val="Heading1"/>
        <w:pageBreakBefore/>
      </w:pPr>
      <w:r>
        <w:t>4 Синхронизация и качество данных</w:t>
      </w:r>
    </w:p>
    <w:p>
      <w:r>
        <w:rPr>
          <w:b w:val="0"/>
        </w:rPr>
        <w:t>Опубликованное время разбирается как UTC. Для биржи используется календарь XNYS exchange-calendars 4.11.2 с America/New_York, DST, праздниками и ранними закрытиями. Новость назначается первой сессии, закрытие которой не раньше публикации. Таким образом, её интервал — (предыдущее закрытие, текущее закрытие]. После закрытия и в выходные новость переносится на следующую сессию.</w:t>
      </w:r>
    </w:p>
    <w:p>
      <w:r>
        <w:rPr>
          <w:b w:val="0"/>
        </w:rPr>
        <w:t>В объект входят только завершённые OHLCV текущей и прошлых сессий. Следующая сессия используется исключительно для y. Для 20 изменений требуется 21 исходная ценовая дата. Окно изображения содержит ровно 20 свечей. Корректность календаря проверена также для ранних закрытий 3 июля и 24 ноября 2023 года.</w:t>
      </w:r>
    </w:p>
    <w:p>
      <w:r>
        <w:rPr>
          <w:b w:val="0"/>
        </w:rPr>
        <w:t>Дубликаты удаляются причинно: записи сортируются по времени, повторяющиеся id и точные заголовки после первой публикации исключаются. Заголовки одной акции и сессии объединяются. Повторные заголовки разных компаний одной статьи в одной сессии допускаются как связанные наблюдения. Все компании делятся по общим датам; одна статья не пересекает split.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288"/>
      </w:tblGrid>
      <w:tr>
        <w:trPr>
          <w:tblHeader/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Проверка или исключение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Пропуски в исходных ценовых ячейках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Повторяющиеся ключи ticker date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Повторные точные заголовки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79 статей удалены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Нет соответствующего тикера цен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8 952 пары статья–тикер исключены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Недостаточно истории или нет сессии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6 агрегированных объектов исключены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Целевая дата пересекает split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54 объекта исключены с границ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Перенос на более позднюю локальную дату сессии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1 413 статей; включает выходные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Неверные OHLCV и разрывы окна среди принятых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Финальный датасет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3 925 объектов; 453 тикера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Единицы в журнале различаются: исключения по ticker относятся к парам, purge — к агрегированным объектам. Поэтому их нельзя суммировать как удалённые статьи. Полный журнал — data/excluded_observations.csv; соответствие статей сессиям — data/article_alignment.csv.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3969"/>
        <w:gridCol w:w="1304"/>
        <w:gridCol w:w="1134"/>
        <w:gridCol w:w="1814"/>
      </w:tblGrid>
      <w:tr>
        <w:trPr>
          <w:tblHeader/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Часть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Период anchor даты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Объектов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Дней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Доля y 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train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2023-01-03 — 2023-07-28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2275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0,538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2023-08-01 — 2023-09-28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689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0,480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test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2023-10-02 — 2023-11-29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688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0,535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application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2023-12-01 — 2024-01-02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0,612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Границы — 1 августа, 1 октября и 1 декабря. Пересекающие границу целевые даты удалены. Прошлые окна соседних частей могут пересекаться: это доступная история. Повторение тикеров допустимо; cold-start перенос не оценивается.</w:t>
      </w:r>
    </w:p>
    <w:p>
      <w:pPr>
        <w:pStyle w:val="Heading1"/>
        <w:pageBreakBefore/>
      </w:pPr>
      <w:r>
        <w:t>5 Признаки и экспериментальные модели</w:t>
      </w:r>
    </w:p>
    <w:p>
      <w:r>
        <w:rPr>
          <w:b w:val="0"/>
        </w:rPr>
        <w:t>Текст кодируется TF-IDF униграммами и биграммами, min_df 2, max_df 0,98, не более 15 000 признаков и sublinear TF. TruncatedSVD оставляет 64 компоненты. Нейросетевой языковой энкодер не используется. Это компактный статистический text baseline, а не дообученная LLM.</w:t>
      </w:r>
    </w:p>
    <w:p>
      <w:r>
        <w:rPr>
          <w:b w:val="0"/>
        </w:rPr>
        <w:t>Числовое окно N имеет размер 20 × 5: log O/Cprev, log H/Cprev, log L/Cprev, log C/Cprev и log V/Vprev. OHLC умножаются на AdjClose/Close. Последующий общий множитель корректировки сокращается в отношениях, что проверяется инвариантностью к масштабированию. Это не устраняет ограничение отсутствия point-in-time базы корпоративных действий.</w:t>
      </w:r>
    </w:p>
    <w:p>
      <w:r>
        <w:rPr>
          <w:b w:val="0"/>
        </w:rPr>
        <w:t>Изображение строится локально в RGB 96 × 96: 20 свечей и столбики объёма, без дат, тикеров, осей и целевой доходности. Затем оно уменьшается до 32 × 32; PCA даёт 64 компоненты и сохраняет 63,6% train-дисперсии. Это image-only классификатор по пиксельным представлениям, а не pretrained VLM. I является производной котировок и не независимым информационным каналом.</w:t>
      </w:r>
    </w:p>
    <w:p>
      <w:r>
        <w:rPr>
          <w:b w:val="0"/>
        </w:rPr>
        <w:t>TF-IDF, SVD, PCA и StandardScaler обучаются только на train. Никакие target-return, sentiment, description, будущие значения или test-статистики не входят в признаки. Изображения строятся детерминированно до PCA. Все модели имеют одну и ту же тестовую выборку.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2721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Схема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Входы и обучаемая часть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Выбор параметров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Только текст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64 компоненты T → logistic regression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 0,01 0,1 1; val F1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Только числа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100 признаков N → logistic regression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Та же сетка C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Только график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64 компоненты I → logistic regression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Та же сетка C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Early fusion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Конкатенация T N I 228 → logistic regression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Та же сетка C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mean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Среднее трёх unimodal вероятностей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Фиксированные веса 1/3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weighted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Сумма вероятностей с неотрицательными весами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Simplex с шагом 0,1; val F1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MLP fusion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Три проекции 16 → concat 48 → hidden 32 → 1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Adam 0,001; val BCE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Attention fusion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Три проекции 16 → query pooling → hidden 32 → 1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Тот же neural протокол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Нейросети: batch 128, weight decay 0,0001, до 100 эпох, early stopping patience 10, modality dropout 0,15, seed 42. Выбран checkpoint первой эпохи у обеих сетей; выполнено по 11 эпох. Дополнительно проверены seeds 7 и 123 без выбора лучшего по test. Полные параметры и история подбора сохранены.</w:t>
      </w:r>
    </w:p>
    <w:p>
      <w:pPr>
        <w:pStyle w:val="Heading1"/>
        <w:pageBreakBefore/>
      </w:pPr>
      <w:r>
        <w:t>6 Результаты на едином тесте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907"/>
        <w:gridCol w:w="1928"/>
        <w:gridCol w:w="1020"/>
        <w:gridCol w:w="1077"/>
        <w:gridCol w:w="964"/>
        <w:gridCol w:w="1020"/>
      </w:tblGrid>
      <w:tr>
        <w:trPr>
          <w:tblHeader/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95% CI F1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MCC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AUROC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Brier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Acc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0,453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[0,415; 0,490]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-0,060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0,470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0,259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0,488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числа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0,500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[0,446; 0,537]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0,262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график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0,512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[0,480; 0,543]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0,055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0,518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0,257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0,539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Early fusion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0,487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[0,441; 0,508]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-0,021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0,479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0,269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0,497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mean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0,461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[0,403; 0,498]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-0,044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0,490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0,254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0,496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weighted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0,500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[0,446; 0,537]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0,262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MLP fusion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0,389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[0,355; 0,430]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-0,041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0,478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0,250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0,519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Attention fusion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0,348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[0,323; 0,376]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0,515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0,249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0,535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Интервалы построены блочным bootstrap по торговым сессиям, длина блока 5 дней, 1 200 выборок. Полные интервалы для F1, MCC, AUROC, Brier, accuracy и ECE, включая длины 10 и 20 сессий, доступны в results/confidence_intervals.csv.</w:t>
      </w:r>
    </w:p>
    <w:p>
      <w:r>
        <w:drawing>
          <wp:inline xmlns:a="http://schemas.openxmlformats.org/drawingml/2006/main" xmlns:pic="http://schemas.openxmlformats.org/drawingml/2006/picture">
            <wp:extent cx="5940000" cy="2767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sz w:val="18"/>
        </w:rPr>
        <w:t>Рисунок 1 Macro F1 и 95% интервалы на 688 объектах из 42 сессий</w:t>
      </w:r>
    </w:p>
    <w:p>
      <w:r>
        <w:rPr>
          <w:b w:val="0"/>
        </w:rPr>
        <w:t>На validation лучшим unimodal оказался numeric-only с F1 0,525. Late weighted выбрал веса [0, 1, 0] и дал тот же результат. На test наибольший F1 у image-only 0,512, но это описательное наблюдение: модель не переизбиралась по test. Ни одна трёхмодальная схема не превысила даже этот результат.</w:t>
      </w:r>
    </w:p>
    <w:p>
      <w:r>
        <w:rPr>
          <w:b w:val="0"/>
        </w:rPr>
        <w:t>Attention fusion прогнозирует только рост: accuracy 0,535, но Macro F1 0,348 и MCC 0. Это совпадает с majority reference. Brier около 0,249 отражает прогноз близко к базовой вероятности и не доказывает полезную дискриминацию. Constant train-prior имеет Brier 0,249 и AUROC 0,5. Следовательно, хорошие калибровочные числа без F1 и MCC здесь вводили бы в заблуждение.</w:t>
      </w:r>
    </w:p>
    <w:p>
      <w:pPr>
        <w:pStyle w:val="Heading1"/>
        <w:pageBreakBefore/>
      </w:pPr>
      <w:r>
        <w:t>7 Проверка прироста и устойчивость вывода</w:t>
      </w:r>
    </w:p>
    <w:p>
      <w:r>
        <w:rPr>
          <w:b w:val="0"/>
        </w:rPr>
        <w:t>Основное сравнение зафиксировано по validation: выбранный fusion против numeric-only. В paired moving-block bootstrap сохраняются все акции каждой даты; непрерывные блоки по 5 сессий выбираются с возвращением до исходного количества дат. Те же индексы применяются к двум моделям. Это учитывает общие рыночные движения и краткосрочную временную зависимость. Percentile CI не включает неопределённость обучения и выбора модели.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1474"/>
        <w:gridCol w:w="2494"/>
        <w:gridCol w:w="1701"/>
        <w:gridCol w:w="1191"/>
      </w:tblGrid>
      <w:tr>
        <w:trPr>
          <w:tblHeader/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Fusion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Δ Macro F1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95% CI Δ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 one sided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 Holm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Early fusion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-0,013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[-0,041; 0,007]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0,8418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mean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-0,039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[-0,076; -0,006]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0,9668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weighted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0,000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[0,000; 0,000]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MLP fusion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-0,111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[-0,160; -0,046]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0,9941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Attention fusion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-0,152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[-0,189; -0,100]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0,9980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1,000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Перестановочный тест меняет местами векторы вероятностей двух моделей целыми неперекрывающимися блоками дат. Для 42 сессий и блока 5 получается 9 блоков, то есть полностью перебираются 512 векторов обмена; для блока 10 — 32. Статистика — разность Macro F1, альтернатива односторонняя, улучшение fusion. Holm применяется к пяти fusion-сравнениям. Полный перебор точен по конфигурациям, но статистическая обоснованность требует условной обменности блоков; для рыночного нестационарного ряда это допущение.</w:t>
      </w:r>
    </w:p>
    <w:p>
      <w:r>
        <w:rPr>
          <w:b w:val="0"/>
        </w:rPr>
        <w:t>Late weighted совпадает с baseline, поэтому Δ = 0, CI [0; 0] и p = 1 являются следствием тождественных прогнозов, а не доказательством точного равенства двух независимых методов. У genuine early fusion Δ = −0,013 и CI [−0,041; 0,007]. При блоках 10 и 20 интервал также включает ноль. Гипотеза об улучшении не подтверждена; особенно не подтверждён прирост 0,03.</w:t>
      </w:r>
    </w:p>
    <w:p>
      <w:r>
        <w:rPr>
          <w:b w:val="0"/>
        </w:rPr>
        <w:t>Тест охватывает только 42 даты. Окна признаков имеют длину 20 сессий, поэтому блоки 5 и 10 могут недооценивать дальнюю зависимость. Длина 20 приведена как чувствительность, но даёт всего три выбираемых блока на повтор и также ненадёжна для точной неопределённости. Эти интервалы нельзя трактовать как универсальную гарантию на будущих режимах рынка.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2098"/>
        <w:gridCol w:w="2098"/>
        <w:gridCol w:w="2098"/>
      </w:tblGrid>
      <w:tr>
        <w:trPr>
          <w:tblHeader/>
          <w:cantSplit/>
        </w:trPr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Seed 7 F1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Seed 42 F1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Seed 123 F1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MLP fusion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0,419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0,389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0,375</w:t>
            </w:r>
          </w:p>
        </w:tc>
      </w:tr>
      <w:tr>
        <w:trPr>
          <w:cantSplit/>
        </w:trPr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Attention fusion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0,348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0,348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0,363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Все seed-запуски выполнены, а не смоделированы. Они не исправляют общую слабость neural fusion. Повторное обучение восьми моделей с seed 42 независимо воспроизвело сохранённые вероятности с максимальной погрешностью порядка 3 × 10⁻⁸.</w:t>
      </w:r>
    </w:p>
    <w:p>
      <w:pPr>
        <w:pStyle w:val="Heading1"/>
        <w:pageBreakBefore/>
      </w:pPr>
      <w:r>
        <w:t>8 Абляции и отсутствующие модальности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587"/>
        <w:gridCol w:w="1587"/>
        <w:gridCol w:w="1644"/>
      </w:tblGrid>
      <w:tr>
        <w:trPr>
          <w:tblHeader/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Повторно обученный вход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Macro F1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MCC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AUROC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Brier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TN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0,467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-0,066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0,476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0,273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TI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0,493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-0,002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0,483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0,268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NI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0,507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0,022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0,507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0,260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 N I early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0,487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-0,021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0,479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0,269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Парные TN, TI и NI заново обучены с той же сеткой C и теми же train/val. Исключение текста из early fusion даёт NI F1 0,507 против 0,487, но результат не является доказанной универсальной вредностью текста: это условное наблюдение одного периода. Удаление изображения даёт TN 0,467; удаление чисел даёт TI 0,493. Вклад зависит от обученной схемы и представления.</w:t>
      </w:r>
    </w:p>
    <w:p>
      <w:r>
        <w:drawing>
          <wp:inline xmlns:a="http://schemas.openxmlformats.org/drawingml/2006/main" xmlns:pic="http://schemas.openxmlformats.org/drawingml/2006/picture">
            <wp:extent cx="5940000" cy="2897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odal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sz w:val="18"/>
        </w:rPr>
        <w:t>Рисунок 2 F1 при маскировании входов на test без переобучения</w:t>
      </w:r>
    </w:p>
    <w:p>
      <w:r>
        <w:rPr>
          <w:b w:val="0"/>
        </w:rPr>
        <w:t>При отказе входа логистическая модель получает нулевой вектор после стандартизации; late fusion перенормирует веса по доступным входам, а при нулевой сумме выбранных весов использует доступные модальности равномерно. Поэтому late weighted без N не продолжает выдавать исходный numeric-прогноз, а переходит к T/I. Neural attention маскирует отсутствующие токены; обе сети обучались с modality dropout.</w:t>
      </w:r>
    </w:p>
    <w:p>
      <w:r>
        <w:rPr>
          <w:b w:val="0"/>
        </w:rPr>
        <w:t>Случайный стресс-тест удаляет каждую модальность независимо у 30% объектов с фиксированным seed 123. Это проверка технической устойчивости к пропускам, а не модель реального механизма отсутствия данных. Маскирование после обучения отличается от парной абляции с переобучением; обе проверки приведены отдельно. Сравнение MLP и attention не изолирует один эффект внимания: одновременно различается размер pooled представления.</w:t>
      </w:r>
    </w:p>
    <w:p>
      <w:pPr>
        <w:pStyle w:val="Heading1"/>
        <w:pageBreakBefore/>
      </w:pPr>
      <w:r>
        <w:t>9 Применение на новом периоде</w:t>
      </w:r>
    </w:p>
    <w:p>
      <w:r>
        <w:rPr>
          <w:b w:val="0"/>
        </w:rPr>
        <w:t>Все параметры заморожены до просмотра application. Период anchor дат: 1 декабря 2023 — 2 января 2024, 273 объекта и 21 сессия. Последняя дата появляется из-за переноса новостей 31 декабря на следующую торговую сессию; её цель — 3 января 2024. Дополнительно выделена заранее заданная технологическая подборка из 15 тикеров, 46 объектов. Это диагностический список компаний, а не полная классификация GICS.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041"/>
        <w:gridCol w:w="680"/>
        <w:gridCol w:w="1247"/>
        <w:gridCol w:w="1417"/>
        <w:gridCol w:w="1417"/>
        <w:gridCol w:w="1304"/>
      </w:tblGrid>
      <w:tr>
        <w:trPr>
          <w:tblHeader/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Подвыборка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Модель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AUROC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Brier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Acc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Только числа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0,519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0,537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0,255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0,527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weighted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0,519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0,537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0,255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0,527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Early fusion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0,468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0,466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0,263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0,495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technology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Только числа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0,569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0,245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0,543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technology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Late weighted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0,569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0,245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0,543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technology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Early fusion</w:t>
            </w:r>
          </w:p>
        </w:tc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0,505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0,565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0,234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0,565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Выбранный по validation numeric-only остаётся итоговым практическим вариантом. Late weighted полностью дублирует его. Early fusion — лучшая по validation схема, действительно использующая три входа, — показана для диагностики и не заменяет замороженный выбор. На полном application она уступает по F1 0,468 против 0,519. На 46 технологических объектах различие F1 0,505 против 0,504 слишком мало для содержательного заявления о преимуществе.</w:t>
      </w:r>
    </w:p>
    <w:p>
      <w:r>
        <w:rPr>
          <w:b w:val="0"/>
        </w:rPr>
        <w:t>Always-up reference на application получает accuracy 0,612 из-за доли роста 61,2%, но Macro F1 только 0,380. Следовательно, accuracy numeric 0,527 нельзя считать свидетельством торгового преимущества. Доходность стратегии, комиссии и исполнение не оценивались.</w:t>
      </w:r>
    </w:p>
    <w:p>
      <w:r>
        <w:drawing>
          <wp:inline xmlns:a="http://schemas.openxmlformats.org/drawingml/2006/main" xmlns:pic="http://schemas.openxmlformats.org/drawingml/2006/picture">
            <wp:extent cx="4968000" cy="315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hart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sz w:val="18"/>
        </w:rPr>
        <w:t>Рисунок 3 Реальные прошлые окна четырёх объектов из application</w:t>
      </w:r>
    </w:p>
    <w:p>
      <w:pPr>
        <w:pStyle w:val="Heading1"/>
        <w:pageBreakBefore/>
      </w:pPr>
      <w:r>
        <w:t>10 Анализ правильных и ошибочных прогнозов</w:t>
      </w:r>
    </w:p>
    <w:p>
      <w:pPr>
        <w:pStyle w:val="Heading2"/>
      </w:pPr>
      <w:r>
        <w:t>Слияние исправляет отдельный прогноз</w:t>
      </w:r>
    </w:p>
    <w:p>
      <w:r>
        <w:rPr>
          <w:b w:val="0"/>
        </w:rPr>
        <w:t>AMZN, 2023-12-01; следующая доходность -1,49%. Заголовок: «1 Solid Artificial Intelligence (AI) Stock to Buy Now».</w:t>
      </w:r>
    </w:p>
    <w:p>
      <w:r>
        <w:rPr>
          <w:b w:val="0"/>
        </w:rPr>
        <w:t>P роста: текст 0,591, числа 0,556, график 0,432, early fusion 0,440. Истинный класс 0.</w:t>
      </w:r>
    </w:p>
    <w:p>
      <w:r>
        <w:rPr>
          <w:b w:val="0"/>
        </w:rPr>
        <w:t>Для AMZN оптимистический заголовок не предсказал следующую отрицательную доходность. Image-only и early fusion дали вероятность ниже 0,5 и оказались правы. Это локальное исправление не означает доказанного причинного вклада графика: у early fusion отдельные коэффициенты, и цена могла измениться из-за новых событий.</w:t>
      </w:r>
    </w:p>
    <w:p>
      <w:pPr>
        <w:pStyle w:val="Heading2"/>
      </w:pPr>
      <w:r>
        <w:t>Слияние портит отдельный прогноз</w:t>
      </w:r>
    </w:p>
    <w:p>
      <w:r>
        <w:rPr>
          <w:b w:val="0"/>
        </w:rPr>
        <w:t>DAL, 2023-12-01; следующая доходность 0,30%. Заголовок: «Jim Cramer: This Tech Stock Has 'Moved Too Much, Too High For Me'».</w:t>
      </w:r>
    </w:p>
    <w:p>
      <w:r>
        <w:rPr>
          <w:b w:val="0"/>
        </w:rPr>
        <w:t>P роста: текст 0,501, числа 0,592, график 0,424, early fusion 0,440. Истинный класс 1.</w:t>
      </w:r>
    </w:p>
    <w:p>
      <w:r>
        <w:rPr>
          <w:b w:val="0"/>
        </w:rPr>
        <w:t>Один общий заголовок о комментариях Jim Cramer связан с несколькими тикерами. Для DAL числовой baseline был верен, а fusion сменил решение на падение. Это пример слабой адресности заголовка: упоминание компании в статье не гарантирует полезного свидетельства для каждого ticker.</w:t>
      </w:r>
    </w:p>
    <w:p>
      <w:pPr>
        <w:pStyle w:val="Heading2"/>
      </w:pPr>
      <w:r>
        <w:t>Обе схемы верны</w:t>
      </w:r>
    </w:p>
    <w:p>
      <w:r>
        <w:rPr>
          <w:b w:val="0"/>
        </w:rPr>
        <w:t>AAL, 2023-12-01; следующая доходность 2,53%. Заголовок: «Jim Cramer: This Tech Stock Has 'Moved Too Much, Too High For Me'».</w:t>
      </w:r>
    </w:p>
    <w:p>
      <w:r>
        <w:rPr>
          <w:b w:val="0"/>
        </w:rPr>
        <w:t>P роста: текст 0,501, числа 0,663, график 0,509, early fusion 0,610. Истинный класс 1.</w:t>
      </w:r>
    </w:p>
    <w:p>
      <w:r>
        <w:rPr>
          <w:b w:val="0"/>
        </w:rPr>
        <w:t>У AAL числовой прогноз и fusion совпали с ростом. Поскольку тот же заголовок используется для DAL, различие результата иллюстрирует важность числового контекста и одновременно зависимость объектов одной статьи.</w:t>
      </w:r>
    </w:p>
    <w:p>
      <w:pPr>
        <w:pStyle w:val="Heading2"/>
      </w:pPr>
      <w:r>
        <w:t>Обе схемы ошибаются</w:t>
      </w:r>
    </w:p>
    <w:p>
      <w:r>
        <w:rPr>
          <w:b w:val="0"/>
        </w:rPr>
        <w:t>ISRG, 2023-12-01; следующая доходность -1,07%. Заголовок: «Reasons to Add Intuitive Surgical (ISRG) to Your Portfolio Now».</w:t>
      </w:r>
    </w:p>
    <w:p>
      <w:r>
        <w:rPr>
          <w:b w:val="0"/>
        </w:rPr>
        <w:t>P роста: текст 0,633, числа 0,550, график 0,665, early fusion 0,749. Истинный класс 0.</w:t>
      </w:r>
    </w:p>
    <w:p>
      <w:r>
        <w:rPr>
          <w:b w:val="0"/>
        </w:rPr>
        <w:t>У ISRG положительный рекомендательный заголовок, числовой и визуальный baseline дали рост, но следующая доходность была отрицательной. Направление завтра не следует из благоприятного текста сегодня; объединение согласных слабых сигналов не устраняет такую ошибку.</w:t>
      </w:r>
    </w:p>
    <w:p>
      <w:r>
        <w:rPr>
          <w:b w:val="0"/>
        </w:rPr>
        <w:t>Другие сохранённые примеры показывают заголовки о компании ISRG у связанного ticker DVA и о RDN у AIZ. Это не ошибка точного join: тикеры выпущенного набора включают связанные компании. Поэтому перенос контекста на весь список тикеров — источник шума. Отбор примеров детерминирован: первые два объекта по дате и тикеру в каждой категории; это иллюстрации, а не отдельная выборка для оценки качества.</w:t>
      </w:r>
    </w:p>
    <w:p>
      <w:pPr>
        <w:pStyle w:val="Heading1"/>
        <w:pageBreakBefore/>
      </w:pPr>
      <w:r>
        <w:t>11 Калибровка и вычислительные затраты</w:t>
      </w:r>
    </w:p>
    <w:p>
      <w:r>
        <w:drawing>
          <wp:inline xmlns:a="http://schemas.openxmlformats.org/drawingml/2006/main" xmlns:pic="http://schemas.openxmlformats.org/drawingml/2006/picture">
            <wp:extent cx="5903999" cy="2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rimination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sz w:val="18"/>
        </w:rPr>
        <w:t>Рисунок 4 Дискриминация и Brier на общем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474"/>
        <w:gridCol w:w="1417"/>
        <w:gridCol w:w="1417"/>
        <w:gridCol w:w="794"/>
      </w:tblGrid>
      <w:tr>
        <w:trPr>
          <w:tblHeader/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Параметров головы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Fit секунды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p50 мс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p95 мс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ECE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0,173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0,191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0,080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числа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0,174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0,191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0,087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график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0,171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0,189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0,048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Early fusion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0,045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0,333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0,355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0,108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mean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0,564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0,582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0,063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weighted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0,088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0,564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0,581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0,087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MLP fusion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5297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2,470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0,498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0,520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0,018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Attention fusion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4289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0,371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0,569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0,591</w:t>
            </w:r>
          </w:p>
        </w:tc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0,004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Latency измерена для одного объекта по готовым признакам: 10 прогревов и до 200 последовательных вызовов, без TF-IDF/PCA, построения свечей, файлового чтения и сетевой загрузки. Показатели зависят от нагрузки машины и не являются SLA. Параметры относятся к голове и её базовым классификаторам; матрицы SVD/PCA не включены. Late-варианты разделяют три уже обученные базовые модели, поэтому время fit строки отражает только сборку или подбор весов; полный расход включает базовые fit.</w:t>
      </w:r>
    </w:p>
    <w:p>
      <w:r>
        <w:rPr>
          <w:b w:val="0"/>
        </w:rPr>
        <w:t>Подготовка данных и признаков заняла 19,3 с. Полный финальный запуск обучения, статистики, абляций, sensitivity seeds и измерений занял 42,6 с wall time и 44,4 CPU с. Машина имеет 16 логических CPU; обучение neural ограничено двумя потоками, GPU не использовался. Платные inference API не вызывались; денежная стоимость оборудования и электроэнергии не оценивалась.</w:t>
      </w:r>
    </w:p>
    <w:p>
      <w:pPr>
        <w:pStyle w:val="Heading1"/>
        <w:pageBreakBefore/>
      </w:pPr>
      <w:r>
        <w:t>12 Многокритериальная оценка</w:t>
      </w:r>
    </w:p>
    <w:p>
      <w:r>
        <w:rPr>
          <w:b w:val="0"/>
        </w:rPr>
        <w:t>Для многокритериального описания используются веса: 45% F1, 20% AUROC, 15% обратного Brier, 10% F1 при отсутствующем входе и 10% обратной задержки. Показатели min-max нормированы среди восьми схем; итог является относительным и чувствительным к составу сравнения. Он не используется для переизбрания по test. Ни один fusion не прошёл условие положительного подтверждённого прироста.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855"/>
      </w:tblGrid>
      <w:tr>
        <w:trPr>
          <w:tblHeader/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Относительный сводный балл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текст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0,507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числа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0,774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Только график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0,918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Early fusion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0,574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mean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0,603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Late weighted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0,707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MLP fusion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0,318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Attention fusion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0,335</w:t>
            </w:r>
          </w:p>
        </w:tc>
      </w:tr>
    </w:tbl>
    <w:p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5903999" cy="216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sz w:val="18"/>
        </w:rPr>
        <w:t>Рисунок 5 Калибровка на test и распределение объектов по времени</w:t>
      </w:r>
    </w:p>
    <w:p>
      <w:r>
        <w:rPr>
          <w:b w:val="0"/>
        </w:rPr>
        <w:t>Image-only получает максимальный описательный балл за умеренно лучший F1, низкую задержку и отсутствие реакции на удаление неиспользуемых входов. Последнее даёт unimodal схемам механическое преимущество в выбранной свёртке устойчивости. Поэтому сводный балл не заменяет проверку прироста или prospective validation выбор. Калибровочные кривые на малых бинах также имеют высокую неопределённость.</w:t>
      </w:r>
    </w:p>
    <w:p>
      <w:pPr>
        <w:pStyle w:val="Heading1"/>
        <w:pageBreakBefore/>
      </w:pPr>
      <w:r>
        <w:t>13 Ограничения и итоговый вывод</w:t>
      </w:r>
    </w:p>
    <w:p>
      <w:r>
        <w:rPr>
          <w:b w:val="0"/>
        </w:rPr>
        <w:t>Главный результат отрицательный: гипотеза об увеличении Macro F1 минимум на 0,03 не подтвердилась. Выбранное слияние отказалось от T и I; early fusion ниже числового baseline на 0,013, а его интервал включает ноль. Низкий Brier нейросетей объясняется почти постоянными вероятностями и не компенсирует слабый F1. На этих данных усложнение архитектуры не оправдано.</w:t>
      </w:r>
    </w:p>
    <w:p>
      <w:r>
        <w:rPr>
          <w:b w:val="0"/>
        </w:rPr>
        <w:t>Вывод относится к компактным TF-IDF/SVD, числовым окнам и пиксельной PCA за один год. Он не доказывает бесполезность финансовых новостей или современных VLM вообще. Малая выборка, нерелевантные связанные тикеры, неполное новостное покрытие, разный prior классов по времени и редуцированные представления ограничивают сигнал. Содержание опубликованной версии заголовков не является гарантированно point-in-time; состав ценовых компаний имеет survivorship bias.</w:t>
      </w:r>
    </w:p>
    <w:p>
      <w:r>
        <w:rPr>
          <w:b w:val="0"/>
        </w:rPr>
        <w:t>42 последовательные test-сессии дают слабую статистическую мощность. Несколько акций и общих статей в день не образуют столько же независимых наблюдений, сколько строк. Блочные процедуры частично учитывают зависимость, но не устраняют нестационарность и неизвестные внешние события. После получения финальной цены закрытия нельзя гарантировать исполнение сделки по той же цене: это классификационный benchmark, а не торговая стратегия.</w:t>
      </w:r>
    </w:p>
    <w:p>
      <w:r>
        <w:rPr>
          <w:b w:val="0"/>
        </w:rPr>
        <w:t>Следующий содержательный шаг — расширить point-in-time новости, уточнить роль тикеров и провести rolling-origin оценку на нескольких годах. Только после этого оправдана проверка pretrained финансового text encoder и визуального encoder. В контексте ВКР полезно сохранять привязку каждого evidence к источнику и cutoff и проверять, улучшает ли извлечённый контекст итоговую задачу, прежде чем наращивать агентную систему.</w:t>
      </w:r>
    </w:p>
    <w:p>
      <w:r>
        <w:rPr>
          <w:b w:val="0"/>
        </w:rPr>
        <w:t>Требования лабораторной выполнены как исследовательский эксперимент: обзор, три представления, два паспорта данных, синхронизация, восемь схем, три baseline, абляции, статистика, применение и воспроизводимые артефакты. Условие из примера «найти fusion с подтверждённым улучшением» фактически не достигнуто; принудительный выбор такой модели исказил бы результат. Отрицательный результат сохранён согласно постановке работы.</w:t>
      </w:r>
    </w:p>
    <w:p>
      <w:pPr>
        <w:pStyle w:val="Heading1"/>
        <w:pageBreakBefore/>
      </w:pPr>
      <w:r>
        <w:t>14 Воспроизведение и итоговая проверка</w:t>
      </w:r>
    </w:p>
    <w:p>
      <w:r>
        <w:rPr>
          <w:b w:val="0"/>
        </w:rPr>
        <w:t>README.md содержит команды установки и запуска. Порядок: src/download.py → src/prepare.py → src/run.py → src/plots.py → src/build_report.py. При наличии исходных файлов скачивание не требуется. Для ML использован Python 3.10.20; генератор Word запущен bundled runtime с python-docx 1.2.0. Переносимые зависимости зафиксированы в requirements.txt.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5499"/>
      </w:tblGrid>
      <w:tr>
        <w:trPr>
          <w:tblHeader/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Артефакт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8EDF2"/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data/raw/kaggle_manifest.json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URL, версия, лицензия и SHA-256 источников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data/dataset.csv и numeric_windows.npz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Все объекты, метки, 20 × 5 окна, даты и пути к изображениям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data/images и encoders.joblib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Свечные графики и train-only преобразования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results/models.joblib и tuning.csv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Реально обученные модели и журнал параметров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results/predictions_*.csv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Индивидуальные вероятности на val, test, application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results/metrics.csv и confidence_intervals.csv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Метрики и блочные интервалы всех показателей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results/significance.csv и delta_confidence_intervals.csv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Перестановочные p, Holm и интервалы прироста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results/robustness.csv и retrained_ablations.csv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Пропуски и повторно обученные парные абляции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results/application_metrics.csv и error_examples.csv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Применение и реальные примеры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research/data_audit.md и statistics_audit.md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Независимая проверка синхронизации и статистики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Проверено: все восемь моделей действительно обучены или собраны из обученных классификаторов; train-only преобразования; единые test индексы; правильный y; публикации не позже cutoff; окна раньше target; статьи не пересекают split; все метрики совпадают с независимым расчётом; probabilities воспроизводятся при повторном обучении seed 42. Графики и таблицы строятся непосредственно из CSV результатов. Внешние научные ссылки проверены по первичным страницам.</w:t>
      </w:r>
    </w:p>
    <w:p>
      <w:r>
        <w:rPr>
          <w:b w:val="0"/>
        </w:rPr>
        <w:t>Для численной проверки использовать src/verify.py. Файл report_lab2.docx дополнительно открыт в установленном Word, экспортирован для проверки страниц и визуально просмотрен. Материалы ВКР использованы только для чтения контекста. Конфигурация описывает фактический протокол; алгоритмические параметры заданы в коде, а не подменяются скрытыми настройками.</w:t>
      </w:r>
    </w:p>
    <w:p>
      <w:pPr>
        <w:pStyle w:val="Heading1"/>
        <w:pageBreakBefore/>
      </w:pPr>
      <w:r>
        <w:t>Список научных источников</w:t>
      </w:r>
    </w:p>
    <w:p>
      <w:pPr>
        <w:keepNext/>
      </w:pPr>
      <w:r>
        <w:rPr>
          <w:b w:val="0"/>
        </w:rPr>
        <w:t>[1] Alec Radford, Jong Wook Kim, Chris Hallacy и др. Learning Transferable Visual Models From Natural Language Supervision. 2021.</w:t>
      </w:r>
    </w:p>
    <w:p>
      <w:hyperlink r:id="rId15">
        <w:r>
          <w:rPr>
            <w:sz w:val="19"/>
          </w:rPr>
          <w:t>https://arxiv.org/abs/2103.00020</w:t>
        </w:r>
      </w:hyperlink>
    </w:p>
    <w:p>
      <w:pPr>
        <w:keepNext/>
      </w:pPr>
      <w:r>
        <w:rPr>
          <w:b w:val="0"/>
        </w:rPr>
        <w:t>[2] Jean-Baptiste Alayrac, Jeff Donahue, Pauline Luc и др. Flamingo: a Visual Language Model for Few-Shot Learning. 2022.</w:t>
      </w:r>
    </w:p>
    <w:p>
      <w:hyperlink r:id="rId16">
        <w:r>
          <w:rPr>
            <w:sz w:val="19"/>
          </w:rPr>
          <w:t>https://arxiv.org/abs/2204.14198</w:t>
        </w:r>
      </w:hyperlink>
    </w:p>
    <w:p>
      <w:pPr>
        <w:keepNext/>
      </w:pPr>
      <w:r>
        <w:rPr>
          <w:b w:val="0"/>
        </w:rPr>
        <w:t>[3] Junnan Li, Dongxu Li, Silvio Savarese и др. BLIP-2: Bootstrapping Language-Image Pre-training with Frozen Image Encoders and Large Language Models. 2023.</w:t>
      </w:r>
    </w:p>
    <w:p>
      <w:hyperlink r:id="rId17">
        <w:r>
          <w:rPr>
            <w:sz w:val="19"/>
          </w:rPr>
          <w:t>https://arxiv.org/abs/2301.12597</w:t>
        </w:r>
      </w:hyperlink>
    </w:p>
    <w:p>
      <w:pPr>
        <w:keepNext/>
      </w:pPr>
      <w:r>
        <w:rPr>
          <w:b w:val="0"/>
        </w:rPr>
        <w:t>[4] Jonathan Herzig, Pawel Krzysztof Nowak, Thomas Müller и др. TaPas: Weakly Supervised Table Parsing via Pre-training. 2020.</w:t>
      </w:r>
    </w:p>
    <w:p>
      <w:hyperlink r:id="rId18">
        <w:r>
          <w:rPr>
            <w:sz w:val="19"/>
          </w:rPr>
          <w:t>https://aclanthology.org/2020.acl-main.398/</w:t>
        </w:r>
      </w:hyperlink>
    </w:p>
    <w:p>
      <w:pPr>
        <w:keepNext/>
      </w:pPr>
      <w:r>
        <w:rPr>
          <w:b w:val="0"/>
        </w:rPr>
        <w:t>[5] Ming Jin, Shiyu Wang, Lintao Ma и др. Time-LLM: Time Series Forecasting by Reprogramming Large Language Models. 2024.</w:t>
      </w:r>
    </w:p>
    <w:p>
      <w:hyperlink r:id="rId19">
        <w:r>
          <w:rPr>
            <w:sz w:val="19"/>
          </w:rPr>
          <w:t>https://arxiv.org/abs/2310.01728</w:t>
        </w:r>
      </w:hyperlink>
    </w:p>
    <w:p>
      <w:pPr>
        <w:keepNext/>
      </w:pPr>
      <w:r>
        <w:rPr>
          <w:b w:val="0"/>
        </w:rPr>
        <w:t>[6] Nate Gruver, Marc Finzi, Shikai Qiu и др. Large Language Models Are Zero-Shot Time Series Forecasters. 2023.</w:t>
      </w:r>
    </w:p>
    <w:p>
      <w:hyperlink r:id="rId20">
        <w:r>
          <w:rPr>
            <w:sz w:val="19"/>
          </w:rPr>
          <w:t>https://arxiv.org/abs/2310.07820</w:t>
        </w:r>
      </w:hyperlink>
    </w:p>
    <w:p>
      <w:pPr>
        <w:keepNext/>
      </w:pPr>
      <w:r>
        <w:rPr>
          <w:b w:val="0"/>
        </w:rPr>
        <w:t>[7] Yao-Hung Hubert Tsai, Shaojie Bai, Paul Pu Liang и др. Multimodal Transformer for Unaligned Multimodal Language Sequences. 2019.</w:t>
      </w:r>
    </w:p>
    <w:p>
      <w:hyperlink r:id="rId21">
        <w:r>
          <w:rPr>
            <w:sz w:val="19"/>
          </w:rPr>
          <w:t>https://aclanthology.org/P19-1656/</w:t>
        </w:r>
      </w:hyperlink>
    </w:p>
    <w:p>
      <w:pPr>
        <w:keepNext/>
      </w:pPr>
      <w:r>
        <w:rPr>
          <w:b w:val="0"/>
        </w:rPr>
        <w:t>[8] Amir Zadeh, Minghai Chen, Soujanya Poria и др. Tensor Fusion Network for Multimodal Sentiment Analysis. 2017.</w:t>
      </w:r>
    </w:p>
    <w:p>
      <w:hyperlink r:id="rId22">
        <w:r>
          <w:rPr>
            <w:sz w:val="19"/>
          </w:rPr>
          <w:t>https://aclanthology.org/D17-1115/</w:t>
        </w:r>
      </w:hyperlink>
    </w:p>
    <w:p>
      <w:pPr>
        <w:keepNext/>
      </w:pPr>
      <w:r>
        <w:rPr>
          <w:b w:val="0"/>
        </w:rPr>
        <w:t>[9] Yumo Xu, Shay B. Cohen. Stock Movement Prediction from Tweets and Historical Prices. 2018.</w:t>
      </w:r>
    </w:p>
    <w:p>
      <w:hyperlink r:id="rId23">
        <w:r>
          <w:rPr>
            <w:sz w:val="19"/>
          </w:rPr>
          <w:t>https://aclanthology.org/P18-1183/</w:t>
        </w:r>
      </w:hyperlink>
    </w:p>
    <w:p>
      <w:pPr>
        <w:keepNext/>
      </w:pPr>
      <w:r>
        <w:rPr>
          <w:b w:val="0"/>
        </w:rPr>
        <w:t>[10] Gagan Bhatia, El Moatez Billah Nagoudi, Hasan Cavusoglu и др. FinTral: A Family of GPT-4 Level Multimodal Financial Large Language Models. 2024.</w:t>
      </w:r>
    </w:p>
    <w:p>
      <w:hyperlink r:id="rId24">
        <w:r>
          <w:rPr>
            <w:sz w:val="19"/>
          </w:rPr>
          <w:t>https://arxiv.org/abs/2402.10986</w:t>
        </w:r>
      </w:hyperlink>
    </w:p>
    <w:p>
      <w:pPr>
        <w:keepNext/>
      </w:pPr>
      <w:r>
        <w:rPr>
          <w:b w:val="0"/>
        </w:rPr>
        <w:t>[11] Yilun Zhao, Yitao Long, Tintin Jiang и др. FinDVer: Explainable Claim Verification over Long and Hybrid-content Financial Documents. 2024.</w:t>
      </w:r>
    </w:p>
    <w:p>
      <w:hyperlink r:id="rId25">
        <w:r>
          <w:rPr>
            <w:sz w:val="19"/>
          </w:rPr>
          <w:t>https://aclanthology.org/2024.emnlp-main.818/</w:t>
        </w:r>
      </w:hyperlink>
    </w:p>
    <w:p>
      <w:pPr>
        <w:keepNext/>
      </w:pPr>
      <w:r>
        <w:rPr>
          <w:b w:val="0"/>
        </w:rPr>
        <w:t>[12] Ahmed Masry, Do Xuan Long, Jia Qing Tan и др. ChartQA: A Benchmark for Question Answering about Charts with Visual and Logical Reasoning. 2022.</w:t>
      </w:r>
    </w:p>
    <w:p>
      <w:hyperlink r:id="rId26">
        <w:r>
          <w:rPr>
            <w:sz w:val="19"/>
          </w:rPr>
          <w:t>https://arxiv.org/abs/2203.10244</w:t>
        </w:r>
      </w:hyperlink>
    </w:p>
    <w:p>
      <w:pPr>
        <w:keepNext/>
      </w:pPr>
      <w:r>
        <w:rPr>
          <w:b w:val="0"/>
        </w:rPr>
        <w:t>[13] Weiyao Wang, Du Tran, Matt Feiszli. What Makes Training Multi-Modal Classification Networks Hard?. 2020.</w:t>
      </w:r>
    </w:p>
    <w:p>
      <w:hyperlink r:id="rId27">
        <w:r>
          <w:rPr>
            <w:sz w:val="19"/>
          </w:rPr>
          <w:t>https://openaccess.thecvf.com/content_CVPR_2020/papers/Wang_What_Makes_Training_Multi-Modal_Classification_Networks_Hard_CVPR_2020_paper.pdf</w:t>
        </w:r>
      </w:hyperlink>
    </w:p>
    <w:p>
      <w:pPr>
        <w:keepNext/>
      </w:pPr>
      <w:r>
        <w:rPr>
          <w:b w:val="0"/>
        </w:rPr>
        <w:t>[14] Yedi Zhang, Peter E. Latham, Andrew Saxe. Understanding Unimodal Bias in Multimodal Deep Linear Networks. 2024.</w:t>
      </w:r>
    </w:p>
    <w:p>
      <w:hyperlink r:id="rId28">
        <w:r>
          <w:rPr>
            <w:sz w:val="19"/>
          </w:rPr>
          <w:t>https://proceedings.mlr.press/v235/zhang24aa.html</w:t>
        </w:r>
      </w:hyperlink>
    </w:p>
    <w:p>
      <w:pPr>
        <w:keepNext/>
      </w:pPr>
      <w:r>
        <w:rPr>
          <w:b w:val="0"/>
        </w:rPr>
        <w:t>[15] George Barnum, Sabera Talukder, Yisong Yue. On the Benefits of Early Fusion in Multimodal Representation Learning. 2020.</w:t>
      </w:r>
    </w:p>
    <w:p>
      <w:hyperlink r:id="rId29">
        <w:r>
          <w:rPr>
            <w:sz w:val="19"/>
          </w:rPr>
          <w:t>https://arxiv.org/abs/2011.07191</w:t>
        </w:r>
      </w:hyperlink>
    </w:p>
    <w:p>
      <w:pPr>
        <w:pStyle w:val="Heading1"/>
      </w:pPr>
      <w:r>
        <w:t>Источники данных</w:t>
      </w:r>
    </w:p>
    <w:p>
      <w:r>
        <w:rPr>
          <w:b w:val="0"/>
        </w:rPr>
        <w:t>[16] Financial News with Ticker-Level Sentiment. Kaggle, v1. MIT.</w:t>
      </w:r>
    </w:p>
    <w:p>
      <w:hyperlink r:id="rId30">
        <w:r>
          <w:rPr>
            <w:sz w:val="19"/>
          </w:rPr>
          <w:t>https://www.kaggle.com/datasets/rdolphin/financial-news-with-ticker-level-sentiment</w:t>
        </w:r>
      </w:hyperlink>
    </w:p>
    <w:p>
      <w:r>
        <w:rPr>
          <w:b w:val="0"/>
        </w:rPr>
        <w:t>[17] S and P500 Historical Data. Kaggle, v1. CC BY-SA 4.0.</w:t>
      </w:r>
    </w:p>
    <w:p>
      <w:hyperlink r:id="rId31">
        <w:r>
          <w:rPr>
            <w:sz w:val="19"/>
          </w:rPr>
          <w:t>https://www.kaggle.com/datasets/jacksaleeby/s-and-p500-historical-data</w:t>
        </w:r>
      </w:hyperlink>
    </w:p>
    <w:p>
      <w:r>
        <w:rPr>
          <w:b w:val="0"/>
        </w:rPr>
        <w:t>[18] Rian Dolphin, Joe Dursun, Jonathan Chow et al. Extracting Structured Insights from Financial News An Augmented LLM Driven Approach. arXiv v1, 2024.</w:t>
      </w:r>
    </w:p>
    <w:p>
      <w:hyperlink r:id="rId32">
        <w:r>
          <w:rPr>
            <w:sz w:val="19"/>
          </w:rPr>
          <w:t>https://arxiv.org/html/2407.15788v1</w:t>
        </w:r>
      </w:hyperlink>
    </w:p>
    <w:p>
      <w:r>
        <w:rPr>
          <w:b w:val="0"/>
        </w:rPr>
        <w:t>Дата проверки источников и получения файлов — 18 октября 2026 года. Для воспроизводимости используются локальные SHA-256 и номера версий, а не изменяемое состояние ссылок latest.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arxiv.org/abs/2103.00020" TargetMode="External"/><Relationship Id="rId16" Type="http://schemas.openxmlformats.org/officeDocument/2006/relationships/hyperlink" Target="https://arxiv.org/abs/2204.14198" TargetMode="External"/><Relationship Id="rId17" Type="http://schemas.openxmlformats.org/officeDocument/2006/relationships/hyperlink" Target="https://arxiv.org/abs/2301.12597" TargetMode="External"/><Relationship Id="rId18" Type="http://schemas.openxmlformats.org/officeDocument/2006/relationships/hyperlink" Target="https://aclanthology.org/2020.acl-main.398/" TargetMode="External"/><Relationship Id="rId19" Type="http://schemas.openxmlformats.org/officeDocument/2006/relationships/hyperlink" Target="https://arxiv.org/abs/2310.01728" TargetMode="External"/><Relationship Id="rId20" Type="http://schemas.openxmlformats.org/officeDocument/2006/relationships/hyperlink" Target="https://arxiv.org/abs/2310.07820" TargetMode="External"/><Relationship Id="rId21" Type="http://schemas.openxmlformats.org/officeDocument/2006/relationships/hyperlink" Target="https://aclanthology.org/P19-1656/" TargetMode="External"/><Relationship Id="rId22" Type="http://schemas.openxmlformats.org/officeDocument/2006/relationships/hyperlink" Target="https://aclanthology.org/D17-1115/" TargetMode="External"/><Relationship Id="rId23" Type="http://schemas.openxmlformats.org/officeDocument/2006/relationships/hyperlink" Target="https://aclanthology.org/P18-1183/" TargetMode="External"/><Relationship Id="rId24" Type="http://schemas.openxmlformats.org/officeDocument/2006/relationships/hyperlink" Target="https://arxiv.org/abs/2402.10986" TargetMode="External"/><Relationship Id="rId25" Type="http://schemas.openxmlformats.org/officeDocument/2006/relationships/hyperlink" Target="https://aclanthology.org/2024.emnlp-main.818/" TargetMode="External"/><Relationship Id="rId26" Type="http://schemas.openxmlformats.org/officeDocument/2006/relationships/hyperlink" Target="https://arxiv.org/abs/2203.10244" TargetMode="External"/><Relationship Id="rId27" Type="http://schemas.openxmlformats.org/officeDocument/2006/relationships/hyperlink" Target="https://openaccess.thecvf.com/content_CVPR_2020/papers/Wang_What_Makes_Training_Multi-Modal_Classification_Networks_Hard_CVPR_2020_paper.pdf" TargetMode="External"/><Relationship Id="rId28" Type="http://schemas.openxmlformats.org/officeDocument/2006/relationships/hyperlink" Target="https://proceedings.mlr.press/v235/zhang24aa.html" TargetMode="External"/><Relationship Id="rId29" Type="http://schemas.openxmlformats.org/officeDocument/2006/relationships/hyperlink" Target="https://arxiv.org/abs/2011.07191" TargetMode="External"/><Relationship Id="rId30" Type="http://schemas.openxmlformats.org/officeDocument/2006/relationships/hyperlink" Target="https://www.kaggle.com/datasets/rdolphin/financial-news-with-ticker-level-sentiment" TargetMode="External"/><Relationship Id="rId31" Type="http://schemas.openxmlformats.org/officeDocument/2006/relationships/hyperlink" Target="https://www.kaggle.com/datasets/jacksaleeby/s-and-p500-historical-data" TargetMode="External"/><Relationship Id="rId32" Type="http://schemas.openxmlformats.org/officeDocument/2006/relationships/hyperlink" Target="https://arxiv.org/html/2407.15788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Мультимодальные модели в предметной области ВКР</dc:title>
  <dc:subject>Финансовые заголовки числовые ряды и изображения графиков</dc:subject>
  <dc:creator>Студент группы ПМ23-2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