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Лабораторная работа № 1</w:t>
        <w:br/>
        <w:t>Большие языковые модели в предметной области ВКР</w:t>
      </w:r>
    </w:p>
    <w:p>
      <w:r>
        <w:t>Дисциплина: «Прикладные задачи машинного обучения»</w:t>
      </w:r>
    </w:p>
    <w:p>
      <w:r>
        <w:t>Тема ВКР: «Разработка языковой модели для многошагового взаимодействия с поисковыми инструментами агентной системы».</w:t>
      </w:r>
    </w:p>
    <w:p>
      <w:pPr>
        <w:pStyle w:val="Heading1"/>
      </w:pPr>
      <w:r>
        <w:t>1. Постановка задачи</w:t>
      </w:r>
    </w:p>
    <w:p>
      <w:r>
        <w:t>Задача лабораторной — сравнить восемь LLM в роли переранжировщика найденных документов. Предмет исследования — качество упорядочивания русскоязычных текстовых фрагментов в зависимости от модели и способа предъявления инструкции.</w:t>
      </w:r>
    </w:p>
    <w:p>
      <w:r>
        <w:t>Исследовательский вопрос: отличаются ли модели по nDCG@10 на одинаковых кандидатах MIRACL-ru и меняется ли качество при переходе от zero-shot к few-shot? Гипотеза: few-shot улучшает nDCG@10 относительно zero-shot, но может увеличивать время ответа.</w:t>
      </w:r>
    </w:p>
    <w:p>
      <w:r>
        <w:t>Поисковый запрос для обзора: ("large language model" OR LLM) AND (retrieval OR reranking OR "agentic RAG" OR "multi-hop") AND (benchmark OR evaluation OR multilingual). Источники: ACL Anthology, ICLR, NeurIPS, TACL, arXiv; основной приоритет — рецензируемым работам.</w:t>
      </w:r>
    </w:p>
    <w:p>
      <w:pPr>
        <w:pStyle w:val="Heading1"/>
      </w:pPr>
      <w:r>
        <w:t>2. Обзор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sz w:val="18"/>
              </w:rPr>
              <w:t>Работа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Метод / данные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Основная идея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Использование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Lewis et al., 2020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RAG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Совмещение поиска и генерации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Нужен baseline retrieval+generation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Karpukhin et al., 2020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DPR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Обучаемый dense retriever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Сравнение с разреженным поиском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Khattab et al., 2021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Baleen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Последовательный поиск с переходами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Основа будущего multi-hop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Yao et al., 2023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Чередование рассуждений и действий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Формат вызовов поисковых инструментов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Zhang et al., 2023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MIRACL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Многоязычные запросы и разметка релевантности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Источник данных и qrels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Gao et al., 2023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HyDE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Гипотетические документы для zero-shot retrieval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Направление для расширения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Trivedi et al., 2023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IRCoT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Поиск с промежуточными шагами рассуждения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Переход к многошаговым задачам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Jiang et al., 2023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FLARE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Поиск по мере генерации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Управление моментом поиска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Sun et al., 2023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RankGPT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Ранжирование документов с помощью LLM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Принцип текущего эксперимента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Asai et al., 2024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Self-RAG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Рефлексия и адаптивное извлечение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Следующий этап ВКР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Hu et al., 2022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LoRA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Низкоранговая адаптация модели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Эксперимент по постобучению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Dettmers et al., 2023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QLoRA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Адаптация с квантизацией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Экономия видеопамяти</w:t>
            </w:r>
          </w:p>
        </w:tc>
      </w:tr>
    </w:tbl>
    <w:p>
      <w:r>
        <w:t>Для каждой работы код, настройки и ограничения требуют уточнения при репликации; ссылки на первоисточники приведены в конце. Это тематическая матрица, а не утверждение о воспроизведении результатов статей.</w:t>
      </w:r>
    </w:p>
    <w:p>
      <w:r>
        <w:t>Схема отбора: 12 тематически релевантных работ включены после изучения постановок и аннотаций. Количество всех найденных/отсеянных результатов автоматического поиска не регистрировалось, поэтому полная PRISMA-диаграмма с числовыми этапами не приводится.</w:t>
      </w:r>
    </w:p>
    <w:p>
      <w:r>
        <w:t>Исследовательский разрыв: MIRACL оценивает релевантность документов, но не содержит эталонных траекторий многошагового агента. Сравнение нескольких LLM по единому протоколу переранжирования даёт проверяемый первый шаг перед исследованием агентного поиска.</w:t>
      </w:r>
    </w:p>
    <w:p>
      <w:pPr>
        <w:pStyle w:val="Heading1"/>
      </w:pPr>
      <w:r>
        <w:t>3. Данные</w:t>
      </w:r>
    </w:p>
    <w:p>
      <w:r>
        <w:t>Источник — MIRACL, русскоязычный раздел (ru), опубликованный авторами набора. Лицензия репозиториев MIRACL на Hugging Face — Apache 2.0. Единица наблюдения: поисковый запрос с размеченными релевантными и нерелевантными пассажами; у документов есть ID, заголовок и текст.</w:t>
      </w:r>
    </w:p>
    <w:p>
      <w:r>
        <w:t>В опубликованной карточке: train — 4 683 запроса и 33 921 оценки релевантности; dev — 1 252 запроса и 13 100 оценок. Это статистика источника, а не самостоятельно загруженного набора.</w:t>
      </w:r>
    </w:p>
    <w:p>
      <w:r>
        <w:t>Для эксперимента используется фиксированная случайная выборка 100 запросов из dev (seed=42). Сравнение проводится на идентичном наборе размеченных кандидатов для каждой модели. Train остаётся вне финального теста; few-shot иллюстрации специально составлены отдельно и не являются примерами из dev.</w:t>
      </w:r>
    </w:p>
    <w:p>
      <w:r>
        <w:t>Проверки качества после скачивания: пустые запросы и пассажи, повторяющиеся query_id/docid, пересечения ID, длины текста, количество положительных и отрицательных меток. Скрипт сохраняет паспорт фактически собранной выборки. Поскольку документы берутся из аннотированного пула, это не оценка полноты поиска по всему корпусу.</w:t>
      </w:r>
    </w:p>
    <w:p>
      <w:pPr>
        <w:pStyle w:val="Heading1"/>
      </w:pPr>
      <w:r>
        <w:t>4. Модели и протокол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sz w:val="18"/>
              </w:rPr>
              <w:t>Модель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Тип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Qwen2.5-3B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Instruct / reasoning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Qwen2.5-7B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Instruct / reasoning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Llama-3.1-8B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Instruct / reasoning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Mistral-7B-v0.3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Instruct / reasoning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Gemma-2-9B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Instruct / reasoning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Phi-3.5-mini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Instruct / reasoning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DeepSeek-R1-Distill-Qwen-7B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Instruct / reasoning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Qwen3-8B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Instruct / reasoning</w:t>
            </w:r>
          </w:p>
        </w:tc>
      </w:tr>
    </w:tbl>
    <w:p>
      <w:r>
        <w:t>Каждая модель получает один запрос и одинаковые размеченные кандидаты (без меток релевантности). Требуется вернуть JSON с массивом всех идентификаторов, отсортированных от наиболее релевантного к наименее релевантному. Режимы: zero-shot и few-shot (два общих примера). Температура 0, фиксированный лимит генерации, одинаковая выборка и серверные условия.</w:t>
      </w:r>
    </w:p>
    <w:p>
      <w:r>
        <w:t>Неуспешная генерация, пропущенные и повторные ID учитываются как невалидные ответы. В таком случае используется ранжирование BM25, а частота fallback публикуется отдельно. Базовый BM25 следует посчитать на тех же кандидатах. При сопоставлении latency необходимо фиксировать конфигурацию сервера и размер промпта.</w:t>
      </w:r>
    </w:p>
    <w:p>
      <w:pPr>
        <w:pStyle w:val="Heading1"/>
      </w:pPr>
      <w:r>
        <w:t>5. Метрики, выбор лучшей модели</w:t>
      </w:r>
    </w:p>
    <w:p>
      <w:r>
        <w:t>Основная метрика — nDCG@10. Дополнительные: MRR, Recall@10, доля невалидных ответов, p95 latency, 95% bootstrap-интервал по запросам. Recall@10 может быть малоинформативной на небольшом пуле, поэтому не применяется как единственный критерий.</w:t>
      </w:r>
    </w:p>
    <w:p>
      <w:r>
        <w:t>Правило выбора задаётся до вычислений: исключить модели с долей невалидных ответов более 5%; среди остальных максимизировать средний nDCG@10; при различии менее 0,01 выбрать модель с меньшим p95 latency. Сравнение zero-shot/few-shot проводится на одинаковых query_id. ECE, Brier score и метрики классификации не подходят без вероятностных оценок/классов.</w:t>
      </w:r>
    </w:p>
    <w:p>
      <w:pPr>
        <w:pStyle w:val="Heading1"/>
      </w:pPr>
      <w:r>
        <w:t>6. Результаты и анализ ошибок</w:t>
      </w:r>
    </w:p>
    <w:p>
      <w:r>
        <w:t>Фактический запуск восьми LLM на момент подготовки отчёта не проведён: инференс-сервер и датасет недоступны в среде подготовки. Поэтому ниже приведён формат итоговой таблицы, а не вымышленные результаты.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sz w:val="18"/>
              </w:rPr>
              <w:t>Модель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Режим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nDCG@10 [95% CI]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Invalid, %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p95, с</w:t>
            </w:r>
          </w:p>
        </w:tc>
      </w:tr>
      <w:tr>
        <w:tc>
          <w:tcPr>
            <w:tcW w:type="dxa" w:w="1938"/>
          </w:tcPr>
          <w:p>
            <w:r>
              <w:rPr>
                <w:sz w:val="18"/>
              </w:rPr>
              <w:t>Qwen2.5-3B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zero/few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38"/>
          </w:tcPr>
          <w:p>
            <w:r>
              <w:rPr>
                <w:sz w:val="18"/>
              </w:rPr>
              <w:t>Qwen2.5-7B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zero/few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38"/>
          </w:tcPr>
          <w:p>
            <w:r>
              <w:rPr>
                <w:sz w:val="18"/>
              </w:rPr>
              <w:t>Llama-3.1-8B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zero/few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38"/>
          </w:tcPr>
          <w:p>
            <w:r>
              <w:rPr>
                <w:sz w:val="18"/>
              </w:rPr>
              <w:t>Mistral-7B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zero/few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38"/>
          </w:tcPr>
          <w:p>
            <w:r>
              <w:rPr>
                <w:sz w:val="18"/>
              </w:rPr>
              <w:t>Gemma-2-9B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zero/few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38"/>
          </w:tcPr>
          <w:p>
            <w:r>
              <w:rPr>
                <w:sz w:val="18"/>
              </w:rPr>
              <w:t>Phi-3.5-mini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zero/few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38"/>
          </w:tcPr>
          <w:p>
            <w:r>
              <w:rPr>
                <w:sz w:val="18"/>
              </w:rPr>
              <w:t>DeepSeek-R1-Distill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zero/few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38"/>
          </w:tcPr>
          <w:p>
            <w:r>
              <w:rPr>
                <w:sz w:val="18"/>
              </w:rPr>
              <w:t>Qwen3-8B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zero/few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  <w:t>—</w:t>
            </w:r>
          </w:p>
        </w:tc>
      </w:tr>
    </w:tbl>
    <w:p>
      <w:r>
        <w:t>После запуска отдельно анализируются запросы с минимальным nDCG@10, влияние длины запроса, числа документов, режима prompting и ошибки JSON. Стоимость и память измеряются на одном сервере; текущий код самостоятельно память GPU не измеряет.</w:t>
      </w:r>
    </w:p>
    <w:p>
      <w:pPr>
        <w:pStyle w:val="Heading1"/>
      </w:pPr>
      <w:r>
        <w:t>7. Применение к ВКР</w:t>
      </w:r>
    </w:p>
    <w:p>
      <w:r>
        <w:t>В прототипе агент формирует поисковый запрос, получает кандидатов от поискового инструмента и использует модель-переранжировщик для выбора более релевантных фрагментов. Отказ от автоматического решения: некорректные идентификаторы, системная ошибка инференса, отсутствие подтверждающих документов; в этих случаях используется baseline или возвращается сообщение о недостаточности данных.</w:t>
      </w:r>
    </w:p>
    <w:p>
      <w:r>
        <w:t>Дальнейший эксперимент: построить по MIRACL или отдельно подготовленному набору составные запросы с проверенной разметкой промежуточных шагов; затем сравнить одношаговый поиск, агентный поиск и агентную модель после QLoRA по качеству итоговой выдачи, числу шагов и затратам. Искусственно построенные многошаговые цепочки требуют ручной проверки.</w:t>
      </w:r>
    </w:p>
    <w:p>
      <w:pPr>
        <w:pStyle w:val="Heading1"/>
      </w:pPr>
      <w:r>
        <w:t>8. Вывод</w:t>
      </w:r>
    </w:p>
    <w:p>
      <w:r>
        <w:t>Подготовлена воспроизводимая схема сравнения восьми LLM на русскоязычном MIRACL. Обзор показывает применимость reranking как компонента агентной поисковой системы. Гипотеза о преимуществе few-shot пока не проверена. Ограничения: оценка только размеченного пула кандидатов, отсутствие полной инфраструктуры поиска, отсутствие реальных метрик и разметки агентных траекторий. Итоговый выбор модели возможен только после эксперимента.</w:t>
      </w:r>
    </w:p>
    <w:p>
      <w:pPr>
        <w:pStyle w:val="Heading1"/>
      </w:pPr>
      <w:r>
        <w:t>Источники</w:t>
      </w:r>
    </w:p>
    <w:p>
      <w:r>
        <w:t>1. Lewis et al., 2020. RAG. https://arxiv.org/abs/2005.11401</w:t>
      </w:r>
    </w:p>
    <w:p>
      <w:r>
        <w:t>2. Karpukhin et al., 2020. DPR. https://aclanthology.org/2020.emnlp-main.550/</w:t>
      </w:r>
    </w:p>
    <w:p>
      <w:r>
        <w:t>3. Khattab et al., 2021. Baleen. https://arxiv.org/abs/2101.00436</w:t>
      </w:r>
    </w:p>
    <w:p>
      <w:r>
        <w:t>4. Yao et al., 2023. ReAct. https://arxiv.org/abs/2210.03629</w:t>
      </w:r>
    </w:p>
    <w:p>
      <w:r>
        <w:t>5. Zhang et al., 2023. MIRACL. https://aclanthology.org/2023.tacl-1.63/</w:t>
      </w:r>
    </w:p>
    <w:p>
      <w:r>
        <w:t>6. Gao et al., 2023. HyDE. https://aclanthology.org/2023.acl-long.99/</w:t>
      </w:r>
    </w:p>
    <w:p>
      <w:r>
        <w:t>7. Trivedi et al., 2023. IRCoT. https://aclanthology.org/2023.acl-long.557/</w:t>
      </w:r>
    </w:p>
    <w:p>
      <w:r>
        <w:t>8. Jiang et al., 2023. FLARE. https://aclanthology.org/2023.emnlp-main.495/</w:t>
      </w:r>
    </w:p>
    <w:p>
      <w:r>
        <w:t>9. Sun et al., 2023. RankGPT. https://arxiv.org/abs/2304.09542</w:t>
      </w:r>
    </w:p>
    <w:p>
      <w:r>
        <w:t>10. Asai et al., 2024. Self-RAG. https://proceedings.iclr.cc/paper_files/paper/2024/hash/25f7be9694d7b32d5cc670927b8091e1-Abstract-Conference.html</w:t>
      </w:r>
    </w:p>
    <w:p>
      <w:r>
        <w:t>11. Hu et al., 2022. LoRA. https://arxiv.org/abs/2106.09685</w:t>
      </w:r>
    </w:p>
    <w:p>
      <w:r>
        <w:t>12. Dettmers et al., 2023. QLoRA. https://arxiv.org/abs/2305.14314</w:t>
      </w:r>
    </w:p>
    <w:p>
      <w:r>
        <w:t>13. Датасет MIRACL: https://huggingface.co/datasets/miracl/miracl</w:t>
      </w:r>
    </w:p>
    <w:p>
      <w:r>
        <w:t>14. Корпус MIRACL: https://huggingface.co/datasets/miracl/miracl-corpus</w:t>
      </w:r>
    </w:p>
    <w:p>
      <w:r>
        <w:t>Репозиторий: локальный архив проекта miracl_lab; публичная ссылка не создана.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41414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4141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41414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