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D14BB" w14:textId="77777777" w:rsidR="00E3764E" w:rsidRPr="00E3764E" w:rsidRDefault="00E3764E" w:rsidP="00E3764E">
      <w:pPr>
        <w:rPr>
          <w:b/>
          <w:bCs/>
          <w:sz w:val="24"/>
          <w:szCs w:val="24"/>
        </w:rPr>
      </w:pPr>
      <w:r w:rsidRPr="00E3764E">
        <w:rPr>
          <w:b/>
          <w:bCs/>
          <w:sz w:val="24"/>
          <w:szCs w:val="24"/>
        </w:rPr>
        <w:t>Investment Data Analysis Project Report</w:t>
      </w:r>
    </w:p>
    <w:p w14:paraId="43B104E7" w14:textId="77777777" w:rsidR="00E3764E" w:rsidRPr="00E3764E" w:rsidRDefault="00E3764E" w:rsidP="00E3764E">
      <w:pPr>
        <w:rPr>
          <w:b/>
          <w:bCs/>
          <w:u w:val="single"/>
        </w:rPr>
      </w:pPr>
      <w:r w:rsidRPr="00E3764E">
        <w:rPr>
          <w:b/>
          <w:bCs/>
          <w:u w:val="single"/>
        </w:rPr>
        <w:t>Introduction</w:t>
      </w:r>
    </w:p>
    <w:p w14:paraId="7915E9E1" w14:textId="77777777" w:rsidR="00E3764E" w:rsidRPr="00E3764E" w:rsidRDefault="00E3764E" w:rsidP="00E3764E">
      <w:r w:rsidRPr="00E3764E">
        <w:t>This report presents the findings of an investment data analysis project aimed at understanding individuals' investment preferences based on demographic and financial factors. The objective of this analysis is to provide actionable insights to stakeholders for strategic decision-making in the financial domain.</w:t>
      </w:r>
    </w:p>
    <w:p w14:paraId="58BA6661" w14:textId="77777777" w:rsidR="00E3764E" w:rsidRPr="00E3764E" w:rsidRDefault="00E3764E" w:rsidP="00E3764E">
      <w:pPr>
        <w:rPr>
          <w:b/>
          <w:bCs/>
          <w:u w:val="single"/>
        </w:rPr>
      </w:pPr>
      <w:r w:rsidRPr="00E3764E">
        <w:rPr>
          <w:b/>
          <w:bCs/>
          <w:u w:val="single"/>
        </w:rPr>
        <w:t>Tools and Technologies Used</w:t>
      </w:r>
    </w:p>
    <w:p w14:paraId="45ED5F83" w14:textId="77777777" w:rsidR="007F2B45" w:rsidRPr="007F2B45" w:rsidRDefault="007F2B45" w:rsidP="007F2B45">
      <w:pPr>
        <w:numPr>
          <w:ilvl w:val="0"/>
          <w:numId w:val="10"/>
        </w:numPr>
      </w:pPr>
      <w:r w:rsidRPr="007F2B45">
        <w:rPr>
          <w:b/>
          <w:bCs/>
        </w:rPr>
        <w:t>Python</w:t>
      </w:r>
      <w:r w:rsidRPr="007F2B45">
        <w:t>: For data cleaning, preprocessing, and in-depth analysis.</w:t>
      </w:r>
    </w:p>
    <w:p w14:paraId="3E75FFA1" w14:textId="77777777" w:rsidR="007F2B45" w:rsidRPr="007F2B45" w:rsidRDefault="007F2B45" w:rsidP="007F2B45">
      <w:pPr>
        <w:numPr>
          <w:ilvl w:val="0"/>
          <w:numId w:val="10"/>
        </w:numPr>
      </w:pPr>
      <w:r w:rsidRPr="007F2B45">
        <w:rPr>
          <w:b/>
          <w:bCs/>
        </w:rPr>
        <w:t>MySQL</w:t>
      </w:r>
      <w:r w:rsidRPr="007F2B45">
        <w:t>: To store and query the structured dataset efficiently.</w:t>
      </w:r>
    </w:p>
    <w:p w14:paraId="4FDC9190" w14:textId="77777777" w:rsidR="007F2B45" w:rsidRPr="007F2B45" w:rsidRDefault="007F2B45" w:rsidP="007F2B45">
      <w:pPr>
        <w:numPr>
          <w:ilvl w:val="0"/>
          <w:numId w:val="10"/>
        </w:numPr>
      </w:pPr>
      <w:r w:rsidRPr="007F2B45">
        <w:rPr>
          <w:b/>
          <w:bCs/>
        </w:rPr>
        <w:t>Power BI</w:t>
      </w:r>
      <w:r w:rsidRPr="007F2B45">
        <w:t>: For creating interactive visualizations and dashboards to present insights.</w:t>
      </w:r>
    </w:p>
    <w:p w14:paraId="5BC9257E" w14:textId="77777777" w:rsidR="007F2B45" w:rsidRPr="007F2B45" w:rsidRDefault="007F2B45" w:rsidP="007F2B45">
      <w:pPr>
        <w:numPr>
          <w:ilvl w:val="0"/>
          <w:numId w:val="10"/>
        </w:numPr>
      </w:pPr>
      <w:r w:rsidRPr="007F2B45">
        <w:rPr>
          <w:b/>
          <w:bCs/>
        </w:rPr>
        <w:t>Microsoft Excel</w:t>
      </w:r>
      <w:r w:rsidRPr="007F2B45">
        <w:t>: Used for initial data exploration and validation.</w:t>
      </w:r>
    </w:p>
    <w:p w14:paraId="31CCBE96" w14:textId="77777777" w:rsidR="00E3764E" w:rsidRPr="00E3764E" w:rsidRDefault="00E3764E" w:rsidP="00E3764E">
      <w:pPr>
        <w:rPr>
          <w:b/>
          <w:bCs/>
          <w:u w:val="single"/>
        </w:rPr>
      </w:pPr>
      <w:r w:rsidRPr="00E3764E">
        <w:rPr>
          <w:b/>
          <w:bCs/>
          <w:u w:val="single"/>
        </w:rPr>
        <w:t>Key Findings</w:t>
      </w:r>
    </w:p>
    <w:p w14:paraId="16B8425B" w14:textId="77777777" w:rsidR="00E3764E" w:rsidRPr="00E3764E" w:rsidRDefault="00E3764E" w:rsidP="00E3764E">
      <w:r w:rsidRPr="00E3764E">
        <w:t>1. Gender-based Investment Preferences</w:t>
      </w:r>
    </w:p>
    <w:p w14:paraId="35D669F0" w14:textId="77777777" w:rsidR="00E3764E" w:rsidRPr="00E3764E" w:rsidRDefault="00E3764E" w:rsidP="00E3764E">
      <w:pPr>
        <w:numPr>
          <w:ilvl w:val="0"/>
          <w:numId w:val="4"/>
        </w:numPr>
      </w:pPr>
      <w:r w:rsidRPr="00E3764E">
        <w:t xml:space="preserve">Males were observed to invest more heavily in </w:t>
      </w:r>
      <w:r w:rsidRPr="00E3764E">
        <w:rPr>
          <w:i/>
          <w:iCs/>
        </w:rPr>
        <w:t>high-risk</w:t>
      </w:r>
      <w:r w:rsidRPr="00E3764E">
        <w:t xml:space="preserve">, </w:t>
      </w:r>
      <w:r w:rsidRPr="00E3764E">
        <w:rPr>
          <w:i/>
          <w:iCs/>
        </w:rPr>
        <w:t>high-return</w:t>
      </w:r>
      <w:r w:rsidRPr="00E3764E">
        <w:t xml:space="preserve"> avenues such as the </w:t>
      </w:r>
      <w:r w:rsidRPr="00E3764E">
        <w:rPr>
          <w:i/>
          <w:iCs/>
        </w:rPr>
        <w:t>Equity Market.</w:t>
      </w:r>
    </w:p>
    <w:p w14:paraId="7DAADD99" w14:textId="77777777" w:rsidR="00E3764E" w:rsidRPr="00E3764E" w:rsidRDefault="00E3764E" w:rsidP="00E3764E">
      <w:pPr>
        <w:numPr>
          <w:ilvl w:val="0"/>
          <w:numId w:val="4"/>
        </w:numPr>
        <w:rPr>
          <w:i/>
          <w:iCs/>
        </w:rPr>
      </w:pPr>
      <w:r w:rsidRPr="00E3764E">
        <w:t xml:space="preserve">Females showed a preference for safer investment options like </w:t>
      </w:r>
      <w:r w:rsidRPr="00E3764E">
        <w:rPr>
          <w:i/>
          <w:iCs/>
        </w:rPr>
        <w:t>Fixed Deposits</w:t>
      </w:r>
      <w:r w:rsidRPr="00E3764E">
        <w:t xml:space="preserve"> and </w:t>
      </w:r>
      <w:r w:rsidRPr="00E3764E">
        <w:rPr>
          <w:i/>
          <w:iCs/>
        </w:rPr>
        <w:t>Mutual Funds.</w:t>
      </w:r>
    </w:p>
    <w:p w14:paraId="1F042661" w14:textId="77777777" w:rsidR="00E3764E" w:rsidRPr="00E3764E" w:rsidRDefault="00E3764E" w:rsidP="00E3764E">
      <w:r w:rsidRPr="00E3764E">
        <w:t>2. Age-based Investment Patterns</w:t>
      </w:r>
    </w:p>
    <w:p w14:paraId="7D410B03" w14:textId="77777777" w:rsidR="00E3764E" w:rsidRPr="00E3764E" w:rsidRDefault="00E3764E" w:rsidP="00E3764E">
      <w:pPr>
        <w:numPr>
          <w:ilvl w:val="0"/>
          <w:numId w:val="5"/>
        </w:numPr>
      </w:pPr>
      <w:r w:rsidRPr="00E3764E">
        <w:t>Younger individuals (aged 20-30) displayed a greater inclination toward high-growth investments like Mutual Funds and Equities.</w:t>
      </w:r>
    </w:p>
    <w:p w14:paraId="43505FA3" w14:textId="77777777" w:rsidR="00E3764E" w:rsidRPr="00E3764E" w:rsidRDefault="00E3764E" w:rsidP="00E3764E">
      <w:pPr>
        <w:numPr>
          <w:ilvl w:val="0"/>
          <w:numId w:val="5"/>
        </w:numPr>
      </w:pPr>
      <w:r w:rsidRPr="00E3764E">
        <w:t xml:space="preserve">Older individuals (&gt;40 years) tended to prioritize stability, </w:t>
      </w:r>
      <w:proofErr w:type="spellStart"/>
      <w:r w:rsidRPr="00E3764E">
        <w:t>favoring</w:t>
      </w:r>
      <w:proofErr w:type="spellEnd"/>
      <w:r w:rsidRPr="00E3764E">
        <w:t xml:space="preserve"> Fixed Deposits and Government Bonds.</w:t>
      </w:r>
    </w:p>
    <w:p w14:paraId="7D71B944" w14:textId="77777777" w:rsidR="00E3764E" w:rsidRPr="00E3764E" w:rsidRDefault="00E3764E" w:rsidP="00E3764E">
      <w:r w:rsidRPr="00E3764E">
        <w:t>3. Objective-driven Investment Insights</w:t>
      </w:r>
    </w:p>
    <w:p w14:paraId="0EDD69BB" w14:textId="77777777" w:rsidR="00E3764E" w:rsidRPr="00E3764E" w:rsidRDefault="00E3764E" w:rsidP="00E3764E">
      <w:pPr>
        <w:numPr>
          <w:ilvl w:val="0"/>
          <w:numId w:val="6"/>
        </w:numPr>
      </w:pPr>
      <w:r w:rsidRPr="00E3764E">
        <w:t>Retirement and Child Education emerged as the most significant investment objectives.</w:t>
      </w:r>
    </w:p>
    <w:p w14:paraId="5F2DE081" w14:textId="77777777" w:rsidR="00E3764E" w:rsidRPr="00E3764E" w:rsidRDefault="00E3764E" w:rsidP="00E3764E">
      <w:pPr>
        <w:numPr>
          <w:ilvl w:val="0"/>
          <w:numId w:val="6"/>
        </w:numPr>
      </w:pPr>
      <w:r w:rsidRPr="00E3764E">
        <w:t>Fixed Deposits and Mutual Funds were the top choices for retirement planning.</w:t>
      </w:r>
    </w:p>
    <w:p w14:paraId="7E0AB031" w14:textId="77777777" w:rsidR="00E3764E" w:rsidRPr="00E3764E" w:rsidRDefault="00E3764E" w:rsidP="00E3764E">
      <w:pPr>
        <w:numPr>
          <w:ilvl w:val="0"/>
          <w:numId w:val="6"/>
        </w:numPr>
      </w:pPr>
      <w:r w:rsidRPr="00E3764E">
        <w:t>Child Education investments were more balanced across different avenues, reflecting diverse risk appetites.</w:t>
      </w:r>
    </w:p>
    <w:p w14:paraId="7B164740" w14:textId="77777777" w:rsidR="00E3764E" w:rsidRPr="00E3764E" w:rsidRDefault="00E3764E" w:rsidP="00E3764E">
      <w:r w:rsidRPr="00E3764E">
        <w:t>4. Popularity of Investment Avenues</w:t>
      </w:r>
    </w:p>
    <w:p w14:paraId="20B86168" w14:textId="77777777" w:rsidR="00E3764E" w:rsidRPr="00E3764E" w:rsidRDefault="00E3764E" w:rsidP="00E3764E">
      <w:pPr>
        <w:numPr>
          <w:ilvl w:val="0"/>
          <w:numId w:val="7"/>
        </w:numPr>
      </w:pPr>
      <w:r w:rsidRPr="00E3764E">
        <w:t>Mutual Funds and Fixed Deposits accounted for the majority of investments, reflecting their widespread acceptance and reliability.</w:t>
      </w:r>
    </w:p>
    <w:p w14:paraId="5C7D8FB2" w14:textId="77777777" w:rsidR="00E3764E" w:rsidRPr="00E3764E" w:rsidRDefault="00E3764E" w:rsidP="00E3764E">
      <w:pPr>
        <w:numPr>
          <w:ilvl w:val="0"/>
          <w:numId w:val="7"/>
        </w:numPr>
      </w:pPr>
      <w:r w:rsidRPr="00E3764E">
        <w:t>Gold remained a consistent choice, particularly among individuals with a preference for traditional investment options.</w:t>
      </w:r>
    </w:p>
    <w:p w14:paraId="57FE935A" w14:textId="77777777" w:rsidR="00E3764E" w:rsidRPr="00E3764E" w:rsidRDefault="00E3764E" w:rsidP="00E3764E">
      <w:r w:rsidRPr="00E3764E">
        <w:t>5. Sources of Investment Decisions</w:t>
      </w:r>
    </w:p>
    <w:p w14:paraId="5C67CEEB" w14:textId="77777777" w:rsidR="00E3764E" w:rsidRPr="00E3764E" w:rsidRDefault="00E3764E" w:rsidP="00E3764E">
      <w:pPr>
        <w:numPr>
          <w:ilvl w:val="0"/>
          <w:numId w:val="8"/>
        </w:numPr>
      </w:pPr>
      <w:r w:rsidRPr="00E3764E">
        <w:t>Online research was the most commonly cited source of information for making investment decisions.</w:t>
      </w:r>
    </w:p>
    <w:p w14:paraId="1579E471" w14:textId="77777777" w:rsidR="00E3764E" w:rsidRPr="00E3764E" w:rsidRDefault="00E3764E" w:rsidP="00E3764E">
      <w:pPr>
        <w:numPr>
          <w:ilvl w:val="0"/>
          <w:numId w:val="8"/>
        </w:numPr>
      </w:pPr>
      <w:r w:rsidRPr="00E3764E">
        <w:lastRenderedPageBreak/>
        <w:t>Surveys and expert recommendations also played a significant role, particularly for individuals investing in diversified portfolios.</w:t>
      </w:r>
    </w:p>
    <w:p w14:paraId="003D7914" w14:textId="77777777" w:rsidR="00E3764E" w:rsidRPr="00E3764E" w:rsidRDefault="00E3764E" w:rsidP="00E3764E">
      <w:pPr>
        <w:rPr>
          <w:b/>
          <w:bCs/>
          <w:u w:val="single"/>
        </w:rPr>
      </w:pPr>
      <w:r w:rsidRPr="00E3764E">
        <w:rPr>
          <w:b/>
          <w:bCs/>
          <w:u w:val="single"/>
        </w:rPr>
        <w:t>Strategic Recommendations</w:t>
      </w:r>
    </w:p>
    <w:p w14:paraId="515AA651" w14:textId="77777777" w:rsidR="00E3764E" w:rsidRPr="00E3764E" w:rsidRDefault="00E3764E" w:rsidP="00E3764E">
      <w:pPr>
        <w:numPr>
          <w:ilvl w:val="0"/>
          <w:numId w:val="9"/>
        </w:numPr>
      </w:pPr>
      <w:r w:rsidRPr="00E3764E">
        <w:t>Tailored Financial Products:</w:t>
      </w:r>
    </w:p>
    <w:p w14:paraId="1DAB5828" w14:textId="77777777" w:rsidR="00E3764E" w:rsidRPr="00E3764E" w:rsidRDefault="00E3764E" w:rsidP="00E3764E">
      <w:pPr>
        <w:numPr>
          <w:ilvl w:val="1"/>
          <w:numId w:val="9"/>
        </w:numPr>
      </w:pPr>
      <w:r w:rsidRPr="00E3764E">
        <w:t>Develop targeted campaigns for Mutual Funds and Fixed Deposits aimed at female investors.</w:t>
      </w:r>
    </w:p>
    <w:p w14:paraId="5161B984" w14:textId="77777777" w:rsidR="00E3764E" w:rsidRPr="00E3764E" w:rsidRDefault="00E3764E" w:rsidP="00E3764E">
      <w:pPr>
        <w:numPr>
          <w:ilvl w:val="1"/>
          <w:numId w:val="9"/>
        </w:numPr>
      </w:pPr>
      <w:r w:rsidRPr="00E3764E">
        <w:t>Design equity-linked savings products tailored for younger investors seeking high returns.</w:t>
      </w:r>
    </w:p>
    <w:p w14:paraId="2D16E5A1" w14:textId="77777777" w:rsidR="00E3764E" w:rsidRPr="00E3764E" w:rsidRDefault="00E3764E" w:rsidP="00E3764E">
      <w:pPr>
        <w:numPr>
          <w:ilvl w:val="0"/>
          <w:numId w:val="9"/>
        </w:numPr>
      </w:pPr>
      <w:r w:rsidRPr="00E3764E">
        <w:t>Educational Initiatives:</w:t>
      </w:r>
    </w:p>
    <w:p w14:paraId="627421CF" w14:textId="77777777" w:rsidR="00E3764E" w:rsidRPr="00E3764E" w:rsidRDefault="00E3764E" w:rsidP="00E3764E">
      <w:pPr>
        <w:numPr>
          <w:ilvl w:val="1"/>
          <w:numId w:val="9"/>
        </w:numPr>
      </w:pPr>
      <w:r w:rsidRPr="00E3764E">
        <w:t>Launch educational programs focusing on the benefits of diversified portfolios for long-term objectives like retirement and child education.</w:t>
      </w:r>
    </w:p>
    <w:p w14:paraId="1C41F79D" w14:textId="77777777" w:rsidR="00E3764E" w:rsidRPr="00E3764E" w:rsidRDefault="00E3764E" w:rsidP="00E3764E">
      <w:pPr>
        <w:numPr>
          <w:ilvl w:val="1"/>
          <w:numId w:val="9"/>
        </w:numPr>
      </w:pPr>
      <w:r w:rsidRPr="00E3764E">
        <w:t>Provide online resources and tools to support decision-making.</w:t>
      </w:r>
    </w:p>
    <w:p w14:paraId="29C50DB7" w14:textId="77777777" w:rsidR="00E3764E" w:rsidRPr="00E3764E" w:rsidRDefault="00E3764E" w:rsidP="00E3764E">
      <w:pPr>
        <w:numPr>
          <w:ilvl w:val="0"/>
          <w:numId w:val="9"/>
        </w:numPr>
      </w:pPr>
      <w:r w:rsidRPr="00E3764E">
        <w:t>Enhanced Digital Engagement:</w:t>
      </w:r>
    </w:p>
    <w:p w14:paraId="07ABEA7E" w14:textId="77777777" w:rsidR="00E3764E" w:rsidRPr="00E3764E" w:rsidRDefault="00E3764E" w:rsidP="00E3764E">
      <w:pPr>
        <w:numPr>
          <w:ilvl w:val="1"/>
          <w:numId w:val="9"/>
        </w:numPr>
      </w:pPr>
      <w:r w:rsidRPr="00E3764E">
        <w:t>Leverage digital channels to reach tech-savvy younger investors and promote online research tools.</w:t>
      </w:r>
    </w:p>
    <w:p w14:paraId="694FA269" w14:textId="77777777" w:rsidR="00E3764E" w:rsidRPr="00E3764E" w:rsidRDefault="00E3764E" w:rsidP="00E3764E">
      <w:pPr>
        <w:numPr>
          <w:ilvl w:val="1"/>
          <w:numId w:val="9"/>
        </w:numPr>
      </w:pPr>
      <w:r w:rsidRPr="00E3764E">
        <w:t>Integrate personalized financial advisory services into digital platforms to guide investors based on their objectives and preferences.</w:t>
      </w:r>
    </w:p>
    <w:p w14:paraId="2F1690A7" w14:textId="77777777" w:rsidR="00E3764E" w:rsidRPr="00E3764E" w:rsidRDefault="00E3764E" w:rsidP="00E3764E">
      <w:pPr>
        <w:numPr>
          <w:ilvl w:val="0"/>
          <w:numId w:val="9"/>
        </w:numPr>
      </w:pPr>
      <w:r w:rsidRPr="00E3764E">
        <w:t>Market Traditional Investment Avenues:</w:t>
      </w:r>
    </w:p>
    <w:p w14:paraId="0FB82FD6" w14:textId="77777777" w:rsidR="00E3764E" w:rsidRPr="00E3764E" w:rsidRDefault="00E3764E" w:rsidP="00E3764E">
      <w:pPr>
        <w:numPr>
          <w:ilvl w:val="1"/>
          <w:numId w:val="9"/>
        </w:numPr>
      </w:pPr>
      <w:r w:rsidRPr="00E3764E">
        <w:t>Highlight the stability and security of Government Bonds and Fixed Deposits to attract risk-averse investors.</w:t>
      </w:r>
    </w:p>
    <w:p w14:paraId="280FDE10" w14:textId="77777777" w:rsidR="00E3764E" w:rsidRPr="00E3764E" w:rsidRDefault="00E3764E" w:rsidP="00E3764E">
      <w:pPr>
        <w:numPr>
          <w:ilvl w:val="1"/>
          <w:numId w:val="9"/>
        </w:numPr>
      </w:pPr>
      <w:r w:rsidRPr="00E3764E">
        <w:t>Reinforce the value of gold as a hedge against market volatility.</w:t>
      </w:r>
    </w:p>
    <w:p w14:paraId="03C6E3EF" w14:textId="77777777" w:rsidR="00E3764E" w:rsidRPr="00E3764E" w:rsidRDefault="00E3764E" w:rsidP="00E3764E">
      <w:pPr>
        <w:rPr>
          <w:b/>
          <w:bCs/>
          <w:u w:val="single"/>
        </w:rPr>
      </w:pPr>
      <w:r w:rsidRPr="00E3764E">
        <w:rPr>
          <w:b/>
          <w:bCs/>
          <w:u w:val="single"/>
        </w:rPr>
        <w:t>Conclusion</w:t>
      </w:r>
    </w:p>
    <w:p w14:paraId="229910B1" w14:textId="77777777" w:rsidR="007F2B45" w:rsidRDefault="007F2B45" w:rsidP="007F2B45">
      <w:r w:rsidRPr="007F2B45">
        <w:t>This analysis highlights key investment trends and preferences across demographics. Financial institutions can use these insights to design better products and improve marketing strategies. Tools like Python, MySQL, and Power BI helped uncover these trends and demonstrate how data analytics can support smarter decision-making in the financial sector.</w:t>
      </w:r>
    </w:p>
    <w:p w14:paraId="7878BBBE" w14:textId="77777777" w:rsidR="007F2B45" w:rsidRDefault="007F2B45" w:rsidP="007F2B45"/>
    <w:p w14:paraId="2B053218" w14:textId="6AF62793" w:rsidR="007F2B45" w:rsidRPr="007F2B45" w:rsidRDefault="007F2B45" w:rsidP="007F2B45">
      <w:r>
        <w:t>-Report is prepared by Nikita Patil</w:t>
      </w:r>
    </w:p>
    <w:p w14:paraId="76B5A439" w14:textId="77777777" w:rsidR="00577D59" w:rsidRPr="007F2B45" w:rsidRDefault="00577D59" w:rsidP="00E3764E"/>
    <w:sectPr w:rsidR="00577D59" w:rsidRPr="007F2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91D3D"/>
    <w:multiLevelType w:val="multilevel"/>
    <w:tmpl w:val="C28A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65AB5"/>
    <w:multiLevelType w:val="multilevel"/>
    <w:tmpl w:val="2B5C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5487"/>
    <w:multiLevelType w:val="multilevel"/>
    <w:tmpl w:val="F3C4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B2206"/>
    <w:multiLevelType w:val="multilevel"/>
    <w:tmpl w:val="EC0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E1895"/>
    <w:multiLevelType w:val="multilevel"/>
    <w:tmpl w:val="738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22911"/>
    <w:multiLevelType w:val="multilevel"/>
    <w:tmpl w:val="4258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D04A0"/>
    <w:multiLevelType w:val="multilevel"/>
    <w:tmpl w:val="451CB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70756"/>
    <w:multiLevelType w:val="multilevel"/>
    <w:tmpl w:val="4FD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41941"/>
    <w:multiLevelType w:val="multilevel"/>
    <w:tmpl w:val="2E8A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A2677"/>
    <w:multiLevelType w:val="multilevel"/>
    <w:tmpl w:val="CC3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5133">
    <w:abstractNumId w:val="9"/>
  </w:num>
  <w:num w:numId="2" w16cid:durableId="1364210776">
    <w:abstractNumId w:val="0"/>
  </w:num>
  <w:num w:numId="3" w16cid:durableId="1215851804">
    <w:abstractNumId w:val="8"/>
  </w:num>
  <w:num w:numId="4" w16cid:durableId="772016130">
    <w:abstractNumId w:val="2"/>
  </w:num>
  <w:num w:numId="5" w16cid:durableId="894195115">
    <w:abstractNumId w:val="4"/>
  </w:num>
  <w:num w:numId="6" w16cid:durableId="16005312">
    <w:abstractNumId w:val="3"/>
  </w:num>
  <w:num w:numId="7" w16cid:durableId="2057925318">
    <w:abstractNumId w:val="5"/>
  </w:num>
  <w:num w:numId="8" w16cid:durableId="1736735421">
    <w:abstractNumId w:val="7"/>
  </w:num>
  <w:num w:numId="9" w16cid:durableId="348721869">
    <w:abstractNumId w:val="6"/>
  </w:num>
  <w:num w:numId="10" w16cid:durableId="1544638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59"/>
    <w:rsid w:val="000E72CD"/>
    <w:rsid w:val="001814D8"/>
    <w:rsid w:val="00577D59"/>
    <w:rsid w:val="007F2B45"/>
    <w:rsid w:val="009565AD"/>
    <w:rsid w:val="009B7BD4"/>
    <w:rsid w:val="00B62C4E"/>
    <w:rsid w:val="00E20D2D"/>
    <w:rsid w:val="00E3764E"/>
    <w:rsid w:val="00ED36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AEC4"/>
  <w15:chartTrackingRefBased/>
  <w15:docId w15:val="{60246EB9-3826-4C94-AE3C-78571ECC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D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7D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7D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7D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7D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7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7D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7D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7D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7D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7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D59"/>
    <w:rPr>
      <w:rFonts w:eastAsiaTheme="majorEastAsia" w:cstheme="majorBidi"/>
      <w:color w:val="272727" w:themeColor="text1" w:themeTint="D8"/>
    </w:rPr>
  </w:style>
  <w:style w:type="paragraph" w:styleId="Title">
    <w:name w:val="Title"/>
    <w:basedOn w:val="Normal"/>
    <w:next w:val="Normal"/>
    <w:link w:val="TitleChar"/>
    <w:uiPriority w:val="10"/>
    <w:qFormat/>
    <w:rsid w:val="00577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D59"/>
    <w:pPr>
      <w:spacing w:before="160"/>
      <w:jc w:val="center"/>
    </w:pPr>
    <w:rPr>
      <w:i/>
      <w:iCs/>
      <w:color w:val="404040" w:themeColor="text1" w:themeTint="BF"/>
    </w:rPr>
  </w:style>
  <w:style w:type="character" w:customStyle="1" w:styleId="QuoteChar">
    <w:name w:val="Quote Char"/>
    <w:basedOn w:val="DefaultParagraphFont"/>
    <w:link w:val="Quote"/>
    <w:uiPriority w:val="29"/>
    <w:rsid w:val="00577D59"/>
    <w:rPr>
      <w:i/>
      <w:iCs/>
      <w:color w:val="404040" w:themeColor="text1" w:themeTint="BF"/>
    </w:rPr>
  </w:style>
  <w:style w:type="paragraph" w:styleId="ListParagraph">
    <w:name w:val="List Paragraph"/>
    <w:basedOn w:val="Normal"/>
    <w:uiPriority w:val="34"/>
    <w:qFormat/>
    <w:rsid w:val="00577D59"/>
    <w:pPr>
      <w:ind w:left="720"/>
      <w:contextualSpacing/>
    </w:pPr>
  </w:style>
  <w:style w:type="character" w:styleId="IntenseEmphasis">
    <w:name w:val="Intense Emphasis"/>
    <w:basedOn w:val="DefaultParagraphFont"/>
    <w:uiPriority w:val="21"/>
    <w:qFormat/>
    <w:rsid w:val="00577D59"/>
    <w:rPr>
      <w:i/>
      <w:iCs/>
      <w:color w:val="2F5496" w:themeColor="accent1" w:themeShade="BF"/>
    </w:rPr>
  </w:style>
  <w:style w:type="paragraph" w:styleId="IntenseQuote">
    <w:name w:val="Intense Quote"/>
    <w:basedOn w:val="Normal"/>
    <w:next w:val="Normal"/>
    <w:link w:val="IntenseQuoteChar"/>
    <w:uiPriority w:val="30"/>
    <w:qFormat/>
    <w:rsid w:val="00577D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D59"/>
    <w:rPr>
      <w:i/>
      <w:iCs/>
      <w:color w:val="2F5496" w:themeColor="accent1" w:themeShade="BF"/>
    </w:rPr>
  </w:style>
  <w:style w:type="character" w:styleId="IntenseReference">
    <w:name w:val="Intense Reference"/>
    <w:basedOn w:val="DefaultParagraphFont"/>
    <w:uiPriority w:val="32"/>
    <w:qFormat/>
    <w:rsid w:val="00577D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18501">
      <w:bodyDiv w:val="1"/>
      <w:marLeft w:val="0"/>
      <w:marRight w:val="0"/>
      <w:marTop w:val="0"/>
      <w:marBottom w:val="0"/>
      <w:divBdr>
        <w:top w:val="none" w:sz="0" w:space="0" w:color="auto"/>
        <w:left w:val="none" w:sz="0" w:space="0" w:color="auto"/>
        <w:bottom w:val="none" w:sz="0" w:space="0" w:color="auto"/>
        <w:right w:val="none" w:sz="0" w:space="0" w:color="auto"/>
      </w:divBdr>
    </w:div>
    <w:div w:id="184026889">
      <w:bodyDiv w:val="1"/>
      <w:marLeft w:val="0"/>
      <w:marRight w:val="0"/>
      <w:marTop w:val="0"/>
      <w:marBottom w:val="0"/>
      <w:divBdr>
        <w:top w:val="none" w:sz="0" w:space="0" w:color="auto"/>
        <w:left w:val="none" w:sz="0" w:space="0" w:color="auto"/>
        <w:bottom w:val="none" w:sz="0" w:space="0" w:color="auto"/>
        <w:right w:val="none" w:sz="0" w:space="0" w:color="auto"/>
      </w:divBdr>
    </w:div>
    <w:div w:id="763839198">
      <w:bodyDiv w:val="1"/>
      <w:marLeft w:val="0"/>
      <w:marRight w:val="0"/>
      <w:marTop w:val="0"/>
      <w:marBottom w:val="0"/>
      <w:divBdr>
        <w:top w:val="none" w:sz="0" w:space="0" w:color="auto"/>
        <w:left w:val="none" w:sz="0" w:space="0" w:color="auto"/>
        <w:bottom w:val="none" w:sz="0" w:space="0" w:color="auto"/>
        <w:right w:val="none" w:sz="0" w:space="0" w:color="auto"/>
      </w:divBdr>
    </w:div>
    <w:div w:id="1218904439">
      <w:bodyDiv w:val="1"/>
      <w:marLeft w:val="0"/>
      <w:marRight w:val="0"/>
      <w:marTop w:val="0"/>
      <w:marBottom w:val="0"/>
      <w:divBdr>
        <w:top w:val="none" w:sz="0" w:space="0" w:color="auto"/>
        <w:left w:val="none" w:sz="0" w:space="0" w:color="auto"/>
        <w:bottom w:val="none" w:sz="0" w:space="0" w:color="auto"/>
        <w:right w:val="none" w:sz="0" w:space="0" w:color="auto"/>
      </w:divBdr>
    </w:div>
    <w:div w:id="1451124299">
      <w:bodyDiv w:val="1"/>
      <w:marLeft w:val="0"/>
      <w:marRight w:val="0"/>
      <w:marTop w:val="0"/>
      <w:marBottom w:val="0"/>
      <w:divBdr>
        <w:top w:val="none" w:sz="0" w:space="0" w:color="auto"/>
        <w:left w:val="none" w:sz="0" w:space="0" w:color="auto"/>
        <w:bottom w:val="none" w:sz="0" w:space="0" w:color="auto"/>
        <w:right w:val="none" w:sz="0" w:space="0" w:color="auto"/>
      </w:divBdr>
    </w:div>
    <w:div w:id="1593321322">
      <w:bodyDiv w:val="1"/>
      <w:marLeft w:val="0"/>
      <w:marRight w:val="0"/>
      <w:marTop w:val="0"/>
      <w:marBottom w:val="0"/>
      <w:divBdr>
        <w:top w:val="none" w:sz="0" w:space="0" w:color="auto"/>
        <w:left w:val="none" w:sz="0" w:space="0" w:color="auto"/>
        <w:bottom w:val="none" w:sz="0" w:space="0" w:color="auto"/>
        <w:right w:val="none" w:sz="0" w:space="0" w:color="auto"/>
      </w:divBdr>
    </w:div>
    <w:div w:id="1833180381">
      <w:bodyDiv w:val="1"/>
      <w:marLeft w:val="0"/>
      <w:marRight w:val="0"/>
      <w:marTop w:val="0"/>
      <w:marBottom w:val="0"/>
      <w:divBdr>
        <w:top w:val="none" w:sz="0" w:space="0" w:color="auto"/>
        <w:left w:val="none" w:sz="0" w:space="0" w:color="auto"/>
        <w:bottom w:val="none" w:sz="0" w:space="0" w:color="auto"/>
        <w:right w:val="none" w:sz="0" w:space="0" w:color="auto"/>
      </w:divBdr>
    </w:div>
    <w:div w:id="1950046610">
      <w:bodyDiv w:val="1"/>
      <w:marLeft w:val="0"/>
      <w:marRight w:val="0"/>
      <w:marTop w:val="0"/>
      <w:marBottom w:val="0"/>
      <w:divBdr>
        <w:top w:val="none" w:sz="0" w:space="0" w:color="auto"/>
        <w:left w:val="none" w:sz="0" w:space="0" w:color="auto"/>
        <w:bottom w:val="none" w:sz="0" w:space="0" w:color="auto"/>
        <w:right w:val="none" w:sz="0" w:space="0" w:color="auto"/>
      </w:divBdr>
    </w:div>
    <w:div w:id="1951429497">
      <w:bodyDiv w:val="1"/>
      <w:marLeft w:val="0"/>
      <w:marRight w:val="0"/>
      <w:marTop w:val="0"/>
      <w:marBottom w:val="0"/>
      <w:divBdr>
        <w:top w:val="none" w:sz="0" w:space="0" w:color="auto"/>
        <w:left w:val="none" w:sz="0" w:space="0" w:color="auto"/>
        <w:bottom w:val="none" w:sz="0" w:space="0" w:color="auto"/>
        <w:right w:val="none" w:sz="0" w:space="0" w:color="auto"/>
      </w:divBdr>
    </w:div>
    <w:div w:id="20145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Patil</dc:creator>
  <cp:keywords/>
  <dc:description/>
  <cp:lastModifiedBy>Nikita Patil</cp:lastModifiedBy>
  <cp:revision>2</cp:revision>
  <dcterms:created xsi:type="dcterms:W3CDTF">2025-01-22T10:47:00Z</dcterms:created>
  <dcterms:modified xsi:type="dcterms:W3CDTF">2025-01-23T18:19:00Z</dcterms:modified>
</cp:coreProperties>
</file>