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технических наук Researcher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PhD Академик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