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Создание конференции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Пищуленок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Никита Александрович,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университет информатики и радиоэлектроники, Минск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психологических наук Главный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Стахейко Александр Васильевич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${degree2} ${rank2}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Была поставлена задача ЦРИТ БГМУ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Создать регистрацию на конференцию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Google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Достигли поставленных целей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Будем работать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