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15 February 2021</w:t>
      </w:r>
    </w:p>
    <w:p>
      <w:pPr>
        <w:tabs>
          <w:tab w:pos="1840" w:val="left"/>
        </w:tabs>
      </w:pPr>
      <w:r>
        <w:rPr>
          <w:b/>
          <w:bCs/>
        </w:rPr>
        <w:t>Last modified:</w:t>
      </w:r>
      <w:r>
        <w:tab/>
      </w:r>
      <w:r>
        <w:t>15 February 2021</w:t>
      </w:r>
    </w:p>
    <w:p>
      <w:pPr>
        <w:tabs>
          <w:tab w:pos="1840" w:val="left"/>
        </w:tabs>
      </w:pPr>
      <w:r>
        <w:rPr>
          <w:b/>
          <w:bCs/>
        </w:rPr>
        <w:t>PRA Session:</w:t>
      </w:r>
      <w:r>
        <w:tab/>
      </w:r>
      <w:r>
        <w:t>P05208</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15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15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15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(15/02/2021)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15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15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15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