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pPr>
        <w:pStyle w:val="Heading1"/>
      </w:pPr>
      <w:r>
        <w:rPr>
          <w:color w:val="368729"/>
        </w:rPr>
        <w:t>pratylenchus india</w:t>
      </w:r>
    </w:p>
    <w:p>
      <w:pPr>
        <w:tabs>
          <w:tab w:pos="2200" w:val="left"/>
        </w:tabs>
      </w:pPr>
      <w:r>
        <w:rPr>
          <w:b/>
          <w:bCs/>
        </w:rPr>
        <w:t>Pest:</w:t>
      </w:r>
      <w:r>
        <w:tab/>
      </w:r>
      <w:r>
        <w:rPr>
          <w:b w:val="false"/>
          <w:bCs w:val="false"/>
        </w:rPr>
        <w:t>Pratylenchus loosi (root lesion nematode)</w:t>
      </w:r>
    </w:p>
    <w:p>
      <w:pPr>
        <w:tabs>
          <w:tab w:pos="2200" w:val="left"/>
        </w:tabs>
      </w:pPr>
      <w:r>
        <w:rPr>
          <w:b/>
          <w:bCs/>
        </w:rPr>
        <w:t>Country/area at risk:</w:t>
      </w:r>
      <w:r>
        <w:tab/>
      </w:r>
      <w:r>
        <w:rPr>
          <w:b w:val="false"/>
          <w:bCs w:val="false"/>
        </w:rPr>
        <w:t>India</w:t>
      </w:r>
      <w:r>
        <w:br/>
      </w:r>
    </w:p>
    <w:p>
      <w:pPr>
        <w:tabs>
          <w:tab w:pos="2200" w:val="left"/>
        </w:tabs>
      </w:pPr>
      <w:r>
        <w:rPr>
          <w:b/>
          <w:bCs/>
        </w:rPr>
        <w:t>Date created:</w:t>
      </w:r>
      <w:r>
        <w:tab/>
      </w:r>
    </w:p>
    <w:p>
      <w:pPr>
        <w:tabs>
          <w:tab w:pos="2200" w:val="left"/>
        </w:tabs>
      </w:pPr>
      <w:r>
        <w:rPr>
          <w:b/>
          <w:bCs/>
        </w:rPr>
        <w:t>Last modified:</w:t>
      </w:r>
      <w:r>
        <w:tab/>
      </w:r>
      <w:r>
        <w:rPr>
          <w:b w:val="false"/>
          <w:bCs w:val="false"/>
        </w:rPr>
        <w:t>16 July 2021</w:t>
      </w:r>
    </w:p>
    <w:p>
      <w:pPr>
        <w:tabs>
          <w:tab w:pos="2200" w:val="left"/>
        </w:tabs>
      </w:pPr>
      <w:r>
        <w:rPr>
          <w:b/>
          <w:bCs/>
        </w:rPr>
        <w:t>PRA number:</w:t>
      </w:r>
      <w:r>
        <w:tab/>
      </w:r>
      <w:r>
        <w:rPr>
          <w:b w:val="false"/>
          <w:bCs w:val="false"/>
        </w:rPr>
        <w:t>P06819</w:t>
      </w:r>
      <w:r>
        <w:br/>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shd w:val="clear" w:fill="808080"/>
          </w:tcPr>
          <w:p>
            <w:pPr>
              <w:cnfStyle w:val="100000000000"/>
            </w:pPr>
            <w:r>
              <w:rPr>
                <w:b/>
                <w:bCs/>
                <w:color w:val="FFFFFF"/>
                <w:sz w:val="22"/>
                <w:szCs w:val="22"/>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sz w:val="22"/>
                <w:szCs w:val="22"/>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sz w:val="22"/>
                <w:szCs w:val="22"/>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sz w:val="22"/>
                <w:szCs w:val="22"/>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sz w:val="22"/>
                <w:szCs w:val="22"/>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sz w:val="22"/>
                <w:szCs w:val="22"/>
              </w:rPr>
              <w:t>Details of other previous PRAs for the pest</w:t>
            </w:r>
          </w:p>
        </w:tc>
      </w:tr>
      <w:tr>
        <w:trPr>
          <w:cnfStyle w:val="000000000000"/>
        </w:trPr>
        <w:tc>
          <w:tcPr>
            <w:cnfStyle w:val="000000000000"/>
          </w:tcPr>
          <w:p>
            <w:pPr>
              <w:cnfStyle w:val="000000000000"/>
            </w:pPr>
            <w:r>
              <w:t>Not applicable</w:t>
            </w:r>
          </w:p>
        </w:tc>
      </w:tr>
    </w:tbl>
    <w:p>
      <w:pPr>
        <w:pStyle w:val="Heading2"/>
      </w:pPr>
      <w:r>
        <w:rPr>
          <w:color w:val="368729"/>
        </w:rPr>
        <w:t>Pest Categorization</w:t>
      </w:r>
    </w:p>
    <w:p>
      <w:pPr>
        <w:pStyle w:val="Heading3"/>
      </w:pPr>
      <w:r>
        <w:rPr>
          <w:color w:val="368729"/>
        </w:rPr>
        <w:t>Identity</w:t>
      </w:r>
    </w:p>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p>
      <w:pPr>
        <w:pStyle w:val="Heading3"/>
      </w:pPr>
      <w:r>
        <w:rPr>
          <w:color w:val="368729"/>
        </w:rPr>
        <w:t>Presence or absence in the PRA area</w:t>
      </w:r>
    </w:p>
    <w:p>
      <w:pPr/>
      <w:r>
        <w:rPr>
          <w:rFonts w:ascii="arial" w:eastAsia="arial" w:hAnsi="arial" w:cs="arial"/>
          <w:sz w:val="22"/>
          <w:szCs w:val="22"/>
        </w:rPr>
        <w:t>xyz</w:t>
      </w:r>
      <w:r>
        <w:br/>
      </w:r>
    </w:p>
    <w:p>
      <w:pPr>
        <w:pStyle w:val="Heading3"/>
      </w:pPr>
      <w:r>
        <w:rPr>
          <w:color w:val="368729"/>
        </w:rPr>
        <w:t>Regulatory status of the pest</w:t>
      </w:r>
    </w:p>
    <w:p>
      <w:pPr/>
      <w:r>
        <w:rPr>
          <w:rFonts w:ascii="arial" w:eastAsia="arial" w:hAnsi="arial" w:cs="arial"/>
          <w:sz w:val="22"/>
          <w:szCs w:val="22"/>
        </w:rPr>
        <w:t>Regulated non-quarantine pest, present in the country/area but whose presence in plants for planting affects its intended use</w:t>
      </w:r>
      <w:r>
        <w:br/>
      </w:r>
    </w:p>
    <w:p>
      <w:pPr>
        <w:pStyle w:val="Heading3"/>
      </w:pPr>
      <w:r>
        <w:rPr>
          <w:color w:val="368729"/>
        </w:rPr>
        <w:t>Regulatory status of the pest elsewhere</w:t>
      </w:r>
    </w:p>
    <w:p>
      <w:pPr/>
      <w:r>
        <w:rPr>
          <w:rFonts w:ascii="arial" w:eastAsia="arial" w:hAnsi="arial" w:cs="arial"/>
          <w:sz w:val="22"/>
          <w:szCs w:val="22"/>
        </w:rPr>
        <w:t>xyz</w:t>
      </w:r>
      <w:r>
        <w:br/>
      </w:r>
    </w:p>
    <w:p>
      <w:pPr>
        <w:pStyle w:val="Heading3"/>
      </w:pPr>
      <w:r>
        <w:rPr>
          <w:color w:val="368729"/>
        </w:rPr>
        <w:t>Distribution summary</w:t>
      </w:r>
    </w:p>
    <w:p>
      <w:pPr/>
      <w:r>
        <w:rPr>
          <w:rFonts w:ascii="arial" w:eastAsia="arial" w:hAnsi="arial" w:cs="arial"/>
          <w:sz w:val="22"/>
          <w:szCs w:val="22"/>
        </w:rPr>
        <w:t>xyz</w:t>
      </w:r>
      <w:r>
        <w:br/>
      </w:r>
      <w:r>
        <w:rPr>
          <w:rFonts w:ascii="arial" w:eastAsia="arial" w:hAnsi="arial" w:cs="arial"/>
          <w:sz w:val="22"/>
          <w:szCs w:val="22"/>
        </w:rPr>
        <w:t>Distribution from the Crop Protection Compendium (16/07/2021)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p>
      <w:pPr>
        <w:pStyle w:val="Heading3"/>
      </w:pPr>
      <w:r>
        <w:rPr>
          <w:color w:val="368729"/>
        </w:rPr>
        <w:t>Association with host plants</w:t>
      </w:r>
    </w:p>
    <w:p>
      <w:pPr/>
      <w:r>
        <w:rPr>
          <w:rFonts w:ascii="arial" w:eastAsia="arial" w:hAnsi="arial" w:cs="arial"/>
          <w:sz w:val="22"/>
          <w:szCs w:val="22"/>
        </w:rPr>
        <w:t>xyz</w:t>
      </w:r>
      <w:r>
        <w:br/>
      </w:r>
    </w:p>
    <w:p>
      <w:pPr>
        <w:pStyle w:val="Heading3"/>
      </w:pPr>
      <w:r>
        <w:rPr>
          <w:color w:val="368729"/>
        </w:rPr>
        <w:t>Potential for establishment</w:t>
      </w:r>
    </w:p>
    <w:p>
      <w:pPr/>
      <w:r>
        <w:rPr>
          <w:rFonts w:ascii="arial" w:eastAsia="arial" w:hAnsi="arial" w:cs="arial"/>
          <w:sz w:val="22"/>
          <w:szCs w:val="22"/>
        </w:rPr>
        <w:t>xyz</w:t>
      </w:r>
      <w:r>
        <w:br/>
      </w:r>
    </w:p>
    <w:p>
      <w:pPr>
        <w:pStyle w:val="Heading3"/>
      </w:pPr>
      <w:r>
        <w:rPr>
          <w:color w:val="368729"/>
        </w:rPr>
        <w:t>Potential for economic, social and environmental impact</w:t>
      </w:r>
    </w:p>
    <w:p>
      <w:pPr/>
      <w:r>
        <w:rPr>
          <w:rFonts w:ascii="arial" w:eastAsia="arial" w:hAnsi="arial" w:cs="arial"/>
          <w:sz w:val="22"/>
          <w:szCs w:val="22"/>
        </w:rPr>
        <w:t>xyz</w:t>
      </w:r>
      <w:r>
        <w:br/>
      </w:r>
    </w:p>
    <w:p>
      <w:pPr>
        <w:pStyle w:val="Heading3"/>
      </w:pPr>
      <w:r>
        <w:rPr>
          <w:color w:val="368729"/>
        </w:rPr>
        <w:t>Summary of categorization of Pratylenchus loosi (root lesion nematode)</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Does the pest have the potential to qualify as a quarantine pest?</w:t>
            </w:r>
          </w:p>
        </w:tc>
        <w:tc>
          <w:tcPr>
            <w:cnfStyle w:val="000000000000"/>
          </w:tcPr>
          <w:p>
            <w:pPr>
              <w:cnfStyle w:val="000000000000"/>
              <w:jc w:val="right"/>
            </w:pPr>
            <w:r>
              <w:t>Yes</w:t>
            </w:r>
          </w:p>
        </w:tc>
      </w:tr>
      <w:tr>
        <w:trPr>
          <w:cnfStyle w:val="000000000000"/>
        </w:trPr>
        <w:tc>
          <w:p>
            <w:pPr/>
          </w:p>
        </w:tc>
      </w:tr>
    </w:tbl>
    <w:p>
      <w:pPr>
        <w:pStyle w:val="Heading2"/>
      </w:pPr>
      <w:r>
        <w:rPr>
          <w:color w:val="368729"/>
        </w:rPr>
        <w:t>Risk Assessment</w:t>
      </w:r>
    </w:p>
    <w:p>
      <w:pPr>
        <w:pStyle w:val="Heading3"/>
      </w:pPr>
      <w:r>
        <w:rPr>
          <w:color w:val="368729"/>
        </w:rPr>
        <w:t>Probability of entry</w:t>
      </w:r>
    </w:p>
    <w:p>
      <w:pPr>
        <w:pStyle w:val="Heading4"/>
      </w:pPr>
      <w:r>
        <w:rPr>
          <w:color w:val="368729"/>
        </w:rPr>
        <w:t>Pathway: Plants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Plants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Yes</w:t>
            </w:r>
          </w:p>
        </w:tc>
      </w:tr>
      <w:tr>
        <w:trPr>
          <w:cnfStyle w:val="000000000000"/>
        </w:trPr>
        <w:tc>
          <w:p>
            <w:pPr/>
          </w:p>
        </w:tc>
      </w:tr>
    </w:tbl>
    <w:p>
      <w:pPr>
        <w:pStyle w:val="Heading4"/>
      </w:pPr>
      <w:r>
        <w:rPr>
          <w:color w:val="368729"/>
        </w:rPr>
        <w:t>Pathway: Seeds for planting</w:t>
      </w:r>
    </w:p>
    <w:p>
      <w:pPr>
        <w:spacing w:lineRule="auto" w:line="276"/>
      </w:pPr>
      <w:r>
        <w:rPr>
          <w:b w:val="false"/>
          <w:bCs w:val="false"/>
        </w:rPr>
        <w:t>abc</w:t>
      </w:r>
    </w:p>
    <w:p>
      <w:pP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of the pest being associated with the pathway at origin?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probability of the pest surviving during transport?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of the pest surviving or evading existing pest management procedures?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transfer to a suitable host or, in the case of potential weeds, habitat?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entry summary: Seeds for planting</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Is this a major or minor pathway? </w:t>
            </w:r>
          </w:p>
        </w:tc>
        <w:tc>
          <w:tcPr>
            <w:cnfStyle w:val="000000000000"/>
          </w:tcPr>
          <w:p>
            <w:pPr>
              <w:cnfStyle w:val="000000000000"/>
              <w:jc w:val="right"/>
            </w:pPr>
            <w:r>
              <w:t>Major</w:t>
            </w:r>
          </w:p>
        </w:tc>
      </w:tr>
      <w:tr>
        <w:trPr>
          <w:cnfStyle w:val="000000000000"/>
        </w:trPr>
        <w:tc>
          <w:p>
            <w:pPr/>
          </w:p>
        </w:tc>
      </w:tr>
    </w:tbl>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this pathway require management measures? </w:t>
            </w:r>
          </w:p>
        </w:tc>
        <w:tc>
          <w:tcPr>
            <w:cnfStyle w:val="000000000000"/>
          </w:tcPr>
          <w:p>
            <w:pPr>
              <w:cnfStyle w:val="000000000000"/>
              <w:jc w:val="right"/>
            </w:pPr>
            <w:r>
              <w:t>No</w:t>
            </w:r>
          </w:p>
        </w:tc>
      </w:tr>
      <w:tr>
        <w:trPr>
          <w:cnfStyle w:val="000000000000"/>
        </w:trPr>
        <w:tc>
          <w:p>
            <w:pPr/>
          </w:p>
        </w:tc>
      </w:tr>
    </w:tbl>
    <w:p>
      <w:pPr>
        <w:pStyle w:val="Heading4"/>
      </w:pPr>
      <w:r>
        <w:rPr>
          <w:color w:val="368729"/>
        </w:rPr>
        <w:t>Probability of entry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 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bl>
    <w:p>
      <w:pPr>
        <w:spacing w:lineRule="auto" w:line="276"/>
      </w:pPr>
    </w:p>
    <w:p>
      <w:pPr>
        <w:pStyle w:val="Heading3"/>
      </w:pPr>
      <w:r>
        <w:rPr>
          <w:color w:val="368729"/>
        </w:rPr>
        <w:t>Probability of establishment</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probability that other biological characteristics of the pest will enable establishment?</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probability of establishment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establishment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Probability of spread</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expected rate of natural spread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If transmitted by vectors, what is the expected rate of spread by vectors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expected rate of spread with commodities or conveyances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If a commodity pathway has been identified as one of the pathways of entry, what is the probability that the intended use of the commodity increases the rate of spread?</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potential rate of spread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Probability of spread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3"/>
      </w:pPr>
      <w:r>
        <w:rPr>
          <w:color w:val="368729"/>
        </w:rPr>
        <w:t>Potential economic, environmental and social consequences</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r>
        <w:rPr>
          <w:rFonts w:ascii="arial" w:eastAsia="arial" w:hAnsi="arial" w:cs="arial"/>
          <w:sz w:val="22"/>
          <w:szCs w:val="22"/>
        </w:rPr>
        <w:t>The following summary is from the Crop Protection Compendium datasheet (16/07/2021)</w:t>
      </w:r>
      <w:r>
        <w:br/>
      </w:r>
      <w:r>
        <w:br/>
      </w:r>
      <w:r>
        <w:rPr>
          <w:rFonts w:ascii="arial" w:eastAsia="arial" w:hAnsi="arial" w:cs="arial"/>
          <w:sz w:val="22"/>
          <w:szCs w:val="22"/>
        </w:rPr>
        <w:t>P. loosi is the most serious pest of tea in Sri Lanka (Gadd, 1939; Gadd and Loos, 1946; Loos, 1953; Sivapalan, 1972) and is a serious pest of tea in Japan (Kaneko and Ichinohe, 1963; Takaji, 1969).Almost all detailed assessments of crop losses in tea, caused by plant parasitic nematodes, have been conducted in Sri Lanka. Although P. loosi has been recovered from several locations, significant damage to tea has been observed mainly at altitudes between 900 and 1800 m. Approximately 40-50% of the high altitude tea areas in Sri Lanka, covering about 55,000 to 60,000 hectares, is known to suffer obvious damage caused by P. loosi. Although decline in yield in such areas has been estimated at around 225-350 kg made tea/hectare/year (Gadd, 1939; Visser, 1959), this can vary from about 4 to 40% depending on the type of cultivar planted, prevailing climatic conditions, population density of nematode, age and vigour of plant, type and pH of soil, etc. (Gnanapragasam, 1988). The extent of damage is greater in young infested tea clearings and nurseries where damage ranging from 60 to 100% can occur if the proper sanitary measures are not followed.In experiments conducted under controlled conditions in the greenhouse, the damage threshold of P. loosi was estimated to be 40 nematodes per 100 g soil at 24°C; this is the average temperature of areas between the altitude range of 900-1800 m in Sri Lanka (Gnanapragasam and Manuelpillai, 1984).Populations of P. loosi are highest in areas with high and well distributed rainfall; this determines the severity of damage within the same altitude (Hutchinson and Vythilingam, 1963).In Sri Lanka, P. loosi is widely distributed in tea fields at all altitudes but damage to tea is confined mainly to altitudes between 900 and 1800 m (Hutchinson and Vythilingam, 1963). In contrast, P. loosi damages tea throughout Japan, where the crop is cultivated at altitudes between 0 and 300 m, because Japan is located in the cooler temperate zone (Takaji, 1969).In Bangladesh, P. loosi only causes damage symptoms to tea grown in nurseries.Nematode damage varies with the type (texture) and physical condition of the soil. Damage caused by P. loosi is most severe in ill-drained, clay-type soils (Sivapalan, 1971).</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2. What is the level of potential economic loss to agriculture, forestry or horticulture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4. What is the level of potential negative impact on native biodiversity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6. What is the level of potential negative impact on ecosystem patterns and processes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8. What is the level of potential negative social impact in the PRA area?</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p>
        </w:tc>
        <w:tc>
          <w:tcPr>
            <w:cnfStyle w:val="000000000000"/>
          </w:tcPr>
          <w:p>
            <w:pPr>
              <w:cnfStyle w:val="000000000000"/>
            </w:pPr>
          </w:p>
        </w:tc>
        <w:tc>
          <w:tcPr>
            <w:cnfStyle w:val="000000000000"/>
          </w:tcPr>
          <w:p>
            <w:pPr>
              <w:cnfStyle w:val="000000000000"/>
            </w:pPr>
          </w:p>
        </w:tc>
      </w:tr>
      <w:tr>
        <w:trPr>
          <w:cnfStyle w:val="000000000000"/>
        </w:trPr>
        <w:tc>
          <w:tcPr>
            <w:cnfStyle w:val="000000000000"/>
            <w:vMerge/>
          </w:tcPr>
          <w:p>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vMerge/>
          </w:tcPr>
          <w:p>
            <w:pPr/>
          </w:p>
        </w:tc>
        <w:tc>
          <w:tcPr>
            <w:cnfStyle w:val="000000000000"/>
          </w:tcPr>
          <w:p>
            <w:pPr>
              <w:cnfStyle w:val="000000000000"/>
            </w:pPr>
            <w:r>
              <w:rPr>
                <w:b/>
                <w:bCs/>
              </w:rPr>
              <w:t>Confidence:</w:t>
            </w:r>
          </w:p>
        </w:tc>
        <w:tc>
          <w:tcPr>
            <w:cnfStyle w:val="000000000000"/>
          </w:tcPr>
          <w:p>
            <w:pPr>
              <w:cnfStyle w:val="000000000000"/>
              <w:jc w:val="right"/>
            </w:pPr>
            <w:r>
              <w:t>Medium</w:t>
            </w:r>
          </w:p>
        </w:tc>
      </w:tr>
    </w:tbl>
    <w:p>
      <w:pPr/>
    </w:p>
    <w:p>
      <w:pPr/>
      <w:r>
        <w:rPr>
          <w:rFonts w:ascii="arial" w:eastAsia="arial" w:hAnsi="arial" w:cs="arial"/>
          <w:sz w:val="22"/>
          <w:szCs w:val="22"/>
        </w:rPr>
        <w:t>xyz</w:t>
      </w:r>
      <w:r>
        <w:br/>
      </w:r>
      <w:r>
        <w:br/>
      </w:r>
    </w:p>
    <w:p>
      <w:pPr>
        <w:spacing w:lineRule="auto" w:line="276"/>
      </w:pPr>
    </w:p>
    <w:p>
      <w:pPr>
        <w:pStyle w:val="Heading4"/>
      </w:pPr>
      <w:r>
        <w:rPr>
          <w:color w:val="368729"/>
        </w:rPr>
        <w:t>Potential consequences summary</w:t>
      </w: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9085"/>
        <w:gridCol w:w="1857"/>
        <w:gridCol w:w="1500"/>
      </w:tblGrid>
      <w:tr>
        <w:trPr>
          <w:cnfStyle w:val="000000000000"/>
        </w:trPr>
        <w:tc>
          <w:tcPr>
            <w:cnfStyle w:val="000000000000"/>
          </w:tcPr>
          <w:p>
            <w:pPr>
              <w:cnfStyle w:val="000000000000"/>
            </w:pPr>
          </w:p>
        </w:tc>
        <w:tc>
          <w:tcPr>
            <w:cnfStyle w:val="000000000000"/>
          </w:tcPr>
          <w:p>
            <w:pPr>
              <w:cnfStyle w:val="000000000000"/>
            </w:pPr>
            <w:r>
              <w:rPr>
                <w:b/>
                <w:bCs/>
              </w:rPr>
              <w:t>Rating:</w:t>
            </w:r>
          </w:p>
        </w:tc>
        <w:tc>
          <w:tcPr>
            <w:cnfStyle w:val="000000000000"/>
          </w:tcPr>
          <w:p>
            <w:pPr>
              <w:cnfStyle w:val="000000000000"/>
              <w:jc w:val="right"/>
            </w:pPr>
            <w:r>
              <w:t>Medium</w:t>
            </w:r>
          </w:p>
        </w:tc>
      </w:tr>
      <w:tr>
        <w:trPr>
          <w:cnfStyle w:val="000000000000"/>
        </w:trPr>
        <w:tc>
          <w:tcPr>
            <w:cnfStyle w:val="000000000000"/>
          </w:tcPr>
          <w:p>
            <w:pPr>
              <w:cnfStyle w:val="000000000000"/>
            </w:pPr>
          </w:p>
        </w:tc>
        <w:tc>
          <w:tcPr>
            <w:cnfStyle w:val="000000000000"/>
          </w:tcPr>
          <w:p>
            <w:pPr>
              <w:cnfStyle w:val="000000000000"/>
            </w:pPr>
            <w:r>
              <w:rPr>
                <w:b/>
                <w:bCs/>
              </w:rPr>
              <w:t>Confidence:</w:t>
            </w:r>
          </w:p>
        </w:tc>
        <w:tc>
          <w:tcPr>
            <w:cnfStyle w:val="000000000000"/>
          </w:tcPr>
          <w:p>
            <w:pPr>
              <w:cnfStyle w:val="000000000000"/>
              <w:jc w:val="right"/>
            </w:pPr>
            <w:r>
              <w:t>High</w:t>
            </w:r>
          </w:p>
        </w:tc>
      </w:tr>
    </w:tbl>
    <w:p>
      <w:pPr/>
    </w:p>
    <w:p>
      <w:pPr/>
      <w:r>
        <w:rPr>
          <w:rFonts w:ascii="arial" w:eastAsia="arial" w:hAnsi="arial" w:cs="arial"/>
          <w:sz w:val="22"/>
          <w:szCs w:val="22"/>
        </w:rPr>
        <w:t>xyz</w:t>
      </w:r>
      <w:r>
        <w:br/>
      </w:r>
      <w:r>
        <w:br/>
      </w:r>
    </w:p>
    <w:p>
      <w:pPr>
        <w:pStyle w:val="Heading2"/>
      </w:pPr>
      <w:r>
        <w:rPr>
          <w:color w:val="368729"/>
        </w:rPr>
        <w:t>Risk assessment summary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4763"/>
        <w:gridCol w:w="1548"/>
        <w:gridCol w:w="1786"/>
        <w:gridCol w:w="1786"/>
        <w:gridCol w:w="2024"/>
      </w:tblGrid>
      <w:tr>
        <w:trPr>
          <w:cnfStyle w:val="100000000000"/>
        </w:trPr>
        <w:tc>
          <w:tcPr>
            <w:cnfStyle w:val="100000000000"/>
          </w:tcPr>
          <w:p>
            <w:pPr>
              <w:cnfStyle w:val="100000000000"/>
            </w:pPr>
          </w:p>
        </w:tc>
        <w:tc>
          <w:tcPr>
            <w:cnfStyle w:val="100000000000"/>
          </w:tcPr>
          <w:p>
            <w:pPr>
              <w:cnfStyle w:val="100000000000"/>
            </w:pPr>
            <w:r>
              <w:t>Summary</w:t>
            </w:r>
            <w:r>
              <w:br/>
            </w:r>
            <w:r>
              <w:t>rating</w:t>
            </w:r>
          </w:p>
        </w:tc>
        <w:tc>
          <w:tcPr>
            <w:cnfStyle w:val="100000000000"/>
          </w:tcPr>
          <w:p>
            <w:pPr>
              <w:cnfStyle w:val="100000000000"/>
            </w:pPr>
            <w:r>
              <w:t>Summary</w:t>
            </w:r>
            <w:r>
              <w:br/>
            </w:r>
            <w:r>
              <w:t>confidence</w:t>
            </w:r>
            <w:r>
              <w:br/>
            </w:r>
            <w:r>
              <w:t>level</w:t>
            </w:r>
          </w:p>
        </w:tc>
        <w:tc>
          <w:tcPr>
            <w:cnfStyle w:val="100000000000"/>
          </w:tcPr>
          <w:p>
            <w:pPr>
              <w:cnfStyle w:val="100000000000"/>
            </w:pPr>
            <w:r>
              <w:t>Major/minor</w:t>
            </w:r>
            <w:r>
              <w:br/>
            </w:r>
            <w:r>
              <w:t>pathway?</w:t>
            </w:r>
          </w:p>
        </w:tc>
        <w:tc>
          <w:tcPr>
            <w:cnfStyle w:val="100000000000"/>
          </w:tcPr>
          <w:p>
            <w:pPr>
              <w:cnfStyle w:val="100000000000"/>
            </w:pPr>
            <w:r>
              <w:t>Pathway</w:t>
            </w:r>
            <w:r>
              <w:br/>
            </w:r>
            <w:r>
              <w:t>requires</w:t>
            </w:r>
            <w:r>
              <w:br/>
            </w:r>
            <w:r>
              <w:t>management</w:t>
            </w:r>
            <w:r>
              <w:br/>
            </w:r>
            <w:r>
              <w:t xml:space="preserve"> measures</w:t>
            </w:r>
          </w:p>
        </w:tc>
      </w:tr>
      <w:tr>
        <w:trPr>
          <w:cnfStyle w:val="000000000000"/>
        </w:trPr>
        <w:tc>
          <w:tcPr>
            <w:cnfStyle w:val="000000000000"/>
          </w:tcPr>
          <w:p>
            <w:pPr>
              <w:cnfStyle w:val="000000000000"/>
              <w:spacing w:lineRule="auto" w:line="276"/>
            </w:pPr>
            <w:r>
              <w:rPr>
                <w:b/>
                <w:bCs/>
              </w:rPr>
              <w:t>Probability of entry:Pathways</w:t>
            </w: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val="false"/>
                <w:bCs w:val="false"/>
              </w:rPr>
              <w:t>Plants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Yes</w:t>
            </w:r>
          </w:p>
        </w:tc>
      </w:tr>
      <w:tr>
        <w:trPr>
          <w:cnfStyle w:val="000000000000"/>
        </w:trPr>
        <w:tc>
          <w:tcPr>
            <w:cnfStyle w:val="000000000000"/>
          </w:tcPr>
          <w:p>
            <w:pPr>
              <w:cnfStyle w:val="000000000000"/>
              <w:spacing w:lineRule="auto" w:line="276"/>
            </w:pPr>
            <w:r>
              <w:rPr>
                <w:b w:val="false"/>
                <w:bCs w:val="false"/>
              </w:rPr>
              <w:t>Seeds for planting</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r>
              <w:rPr>
                <w:b w:val="false"/>
                <w:bCs w:val="false"/>
              </w:rPr>
              <w:t>Major</w:t>
            </w:r>
          </w:p>
        </w:tc>
        <w:tc>
          <w:tcPr>
            <w:cnfStyle w:val="000000000000"/>
          </w:tcPr>
          <w:p>
            <w:pPr>
              <w:cnfStyle w:val="000000000000"/>
              <w:spacing w:lineRule="auto" w:line="276"/>
            </w:pPr>
            <w:r>
              <w:rPr>
                <w:b w:val="false"/>
                <w:bCs w:val="false"/>
              </w:rPr>
              <w:t>No</w:t>
            </w:r>
          </w:p>
        </w:tc>
      </w:tr>
      <w:tr>
        <w:trPr>
          <w:cnfStyle w:val="000000000000"/>
        </w:trPr>
        <w:tc>
          <w:tcPr>
            <w:cnfStyle w:val="000000000000"/>
          </w:tcPr>
          <w:p>
            <w:pPr>
              <w:cnfStyle w:val="000000000000"/>
              <w:spacing w:lineRule="auto" w:line="276"/>
            </w:pPr>
            <w:r>
              <w:rPr>
                <w:b/>
                <w:bCs/>
              </w:rPr>
              <w:t>Probability of establishment</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Probability of spread</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r>
        <w:trPr>
          <w:cnfStyle w:val="000000000000"/>
        </w:trPr>
        <w:tc>
          <w:tcPr>
            <w:cnfStyle w:val="000000000000"/>
          </w:tcPr>
          <w:p>
            <w:pPr>
              <w:cnfStyle w:val="000000000000"/>
              <w:spacing w:lineRule="auto" w:line="276"/>
            </w:pPr>
            <w:r>
              <w:rPr>
                <w:b/>
                <w:bCs/>
              </w:rPr>
              <w:t>Potential economic, environmental and social consequences</w:t>
            </w:r>
          </w:p>
        </w:tc>
        <w:tc>
          <w:tcPr>
            <w:cnfStyle w:val="000000000000"/>
          </w:tcPr>
          <w:p>
            <w:pPr>
              <w:cnfStyle w:val="000000000000"/>
              <w:spacing w:lineRule="auto" w:line="276"/>
            </w:pPr>
            <w:r>
              <w:rPr>
                <w:b w:val="false"/>
                <w:bCs w:val="false"/>
              </w:rPr>
              <w:t>Medium</w:t>
            </w:r>
          </w:p>
        </w:tc>
        <w:tc>
          <w:tcPr>
            <w:cnfStyle w:val="000000000000"/>
          </w:tcPr>
          <w:p>
            <w:pPr>
              <w:cnfStyle w:val="000000000000"/>
              <w:spacing w:lineRule="auto" w:line="276"/>
            </w:pPr>
            <w:r>
              <w:rPr>
                <w:b w:val="false"/>
                <w:bCs w:val="false"/>
              </w:rPr>
              <w:t>High</w:t>
            </w:r>
          </w:p>
        </w:tc>
        <w:tc>
          <w:tcPr>
            <w:cnfStyle w:val="000000000000"/>
          </w:tcPr>
          <w:p>
            <w:pPr>
              <w:cnfStyle w:val="000000000000"/>
              <w:spacing w:lineRule="auto" w:line="276"/>
            </w:pPr>
          </w:p>
        </w:tc>
        <w:tc>
          <w:tcPr>
            <w:cnfStyle w:val="000000000000"/>
          </w:tcPr>
          <w:p>
            <w:pPr>
              <w:cnfStyle w:val="000000000000"/>
              <w:spacing w:lineRule="auto" w:line="276"/>
            </w:pPr>
          </w:p>
        </w:tc>
      </w:tr>
    </w:tbl>
    <w:p>
      <w:pPr>
        <w:spacing w:lineRule="auto" w:line="276"/>
      </w:pPr>
    </w:p>
    <w:tbl>
      <w:tblPr>
        <w:tblStyle w:val="Table Grid"/>
        <w:tblLook w:firstRow="1" w:lastRow="0" w:firstColumn="1" w:lastColumn="0" w:noHBand="0" w:noVBand="1" w:val="04A0"/>
        <w:tblW w:w="5000" w:type="pct"/>
        <w:tblBorders>
          <w:top w:val="nil"/>
          <w:left w:val="nil"/>
          <w:bottom w:val="nil"/>
          <w:right w:val="nil"/>
          <w:insideH w:val="nil"/>
          <w:insideV w:val="nil"/>
        </w:tblBorders>
        <w:tblLayout w:type="fixed"/>
      </w:tblPr>
      <w:tblGrid>
        <w:gridCol w:w="10716"/>
        <w:gridCol w:w="1191"/>
      </w:tblGrid>
      <w:tr>
        <w:trPr>
          <w:cnfStyle w:val="000000000000"/>
        </w:trPr>
        <w:tc>
          <w:tcPr>
            <w:cnfStyle w:val="000000000000"/>
          </w:tcPr>
          <w:p>
            <w:pPr>
              <w:cnfStyle w:val="000000000000"/>
              <w:jc w:val="left"/>
            </w:pPr>
            <w:r>
              <w:rPr>
                <w:b/>
                <w:bCs/>
              </w:rPr>
              <w:t xml:space="preserve">Does the pest require phytosanitary measures? </w:t>
            </w:r>
          </w:p>
        </w:tc>
        <w:tc>
          <w:tcPr>
            <w:cnfStyle w:val="000000000000"/>
          </w:tcPr>
          <w:p>
            <w:pPr>
              <w:cnfStyle w:val="000000000000"/>
              <w:jc w:val="right"/>
            </w:pPr>
            <w:r>
              <w:t>Yes</w:t>
            </w:r>
          </w:p>
        </w:tc>
      </w:tr>
      <w:tr>
        <w:trPr>
          <w:cnfStyle w:val="000000000000"/>
        </w:trPr>
        <w:tc>
          <w:p>
            <w:pPr/>
          </w:p>
        </w:tc>
      </w:tr>
    </w:tbl>
    <w:p>
      <w:pPr>
        <w:spacing w:lineRule="auto" w:line="276"/>
      </w:pPr>
    </w:p>
    <w:p>
      <w:pPr/>
      <w:r>
        <w:rPr>
          <w:rFonts w:ascii="arial" w:eastAsia="arial" w:hAnsi="arial" w:cs="arial"/>
          <w:sz w:val="22"/>
          <w:szCs w:val="22"/>
        </w:rPr>
        <w:t>summary notes</w:t>
      </w:r>
      <w:r>
        <w:br/>
      </w:r>
      <w:r>
        <w:br/>
      </w:r>
    </w:p>
    <w:p>
      <w:pPr>
        <w:pStyle w:val="Heading2"/>
      </w:pPr>
      <w:r>
        <w:rPr>
          <w:color w:val="368729"/>
        </w:rPr>
        <w:t>Risk Management</w:t>
      </w:r>
    </w:p>
    <w:p>
      <w:pPr>
        <w:pStyle w:val="Heading3"/>
      </w:pPr>
      <w:r>
        <w:rPr>
          <w:color w:val="368729"/>
        </w:rPr>
        <w:t>Pathway of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Plants for planting</w:t>
            </w:r>
          </w:p>
        </w:tc>
        <w:tc>
          <w:tcPr>
            <w:cnfStyle w:val="000000000000"/>
          </w:tcPr>
          <w:p>
            <w:pPr>
              <w:cnfStyle w:val="000000000000"/>
            </w:pPr>
          </w:p>
        </w:tc>
      </w:tr>
    </w:tbl>
    <w:p>
      <w:pPr>
        <w:pStyle w:val="Heading3"/>
      </w:pPr>
      <w:r>
        <w:rPr>
          <w:color w:val="368729"/>
        </w:rPr>
        <w:t>After entry</w:t>
      </w:r>
    </w:p>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3572"/>
        <w:gridCol w:w="8335"/>
      </w:tblGrid>
      <w:tr>
        <w:trPr>
          <w:cnfStyle w:val="100000000000"/>
        </w:trPr>
        <w:tc>
          <w:tcPr>
            <w:cnfStyle w:val="100000000000"/>
          </w:tcPr>
          <w:p>
            <w:pPr>
              <w:cnfStyle w:val="100000000000"/>
            </w:pPr>
            <w:r>
              <w:t>Management option</w:t>
            </w:r>
          </w:p>
        </w:tc>
        <w:tc>
          <w:tcPr>
            <w:cnfStyle w:val="100000000000"/>
          </w:tcPr>
          <w:p>
            <w:pPr>
              <w:cnfStyle w:val="100000000000"/>
            </w:pPr>
            <w:r>
              <w:t>Notes</w:t>
            </w:r>
          </w:p>
        </w:tc>
      </w:tr>
      <w:tr>
        <w:trPr>
          <w:cnfStyle w:val="000000000000"/>
        </w:trPr>
        <w:tc>
          <w:tcPr>
            <w:cnfStyle w:val="000000000000"/>
          </w:tcPr>
          <w:p>
            <w:pPr>
              <w:cnfStyle w:val="000000000000"/>
              <w:spacing w:lineRule="auto" w:line="276"/>
            </w:pPr>
            <w:r>
              <w:rPr>
                <w:b/>
                <w:bCs/>
              </w:rPr>
              <w:t>Inspection or testing in post-entry quarantine</w:t>
            </w:r>
          </w:p>
        </w:tc>
        <w:tc>
          <w:tcPr>
            <w:cnfStyle w:val="000000000000"/>
          </w:tcPr>
          <w:p>
            <w:pPr>
              <w:cnfStyle w:val="000000000000"/>
            </w:pPr>
            <w:r>
              <w:rPr>
                <w:rFonts w:ascii="arial" w:eastAsia="arial" w:hAnsi="arial" w:cs="arial"/>
                <w:sz w:val="22"/>
                <w:szCs w:val="22"/>
              </w:rPr>
              <w:t>xyz</w:t>
            </w:r>
            <w:r>
              <w:br/>
            </w:r>
            <w:r>
              <w:br/>
            </w:r>
          </w:p>
        </w:tc>
      </w:tr>
    </w:tbl>
    <w:p>
      <w:pPr>
        <w:pStyle w:val="Heading3"/>
      </w:pPr>
      <w:r>
        <w:rPr>
          <w:color w:val="368729"/>
        </w:rPr>
        <w:t>Other</w:t>
      </w:r>
    </w:p>
    <w:p>
      <w:pPr>
        <w:pStyle w:val="Heading3"/>
      </w:pPr>
      <w:r>
        <w:rPr>
          <w:color w:val="368729"/>
        </w:rPr>
        <w:t>Risk management summary</w:t>
      </w:r>
    </w:p>
    <w:p>
      <w:pPr/>
      <w:r>
        <w:rPr>
          <w:rFonts w:ascii="arial" w:eastAsia="arial" w:hAnsi="arial" w:cs="arial"/>
          <w:sz w:val="22"/>
          <w:szCs w:val="22"/>
        </w:rPr>
        <w:t>summary</w:t>
      </w:r>
      <w:r>
        <w:br/>
      </w:r>
      <w:r>
        <w:br/>
      </w:r>
    </w:p>
    <w:p>
      <w:pPr>
        <w:pStyle w:val="Heading2"/>
      </w:pPr>
      <w:r>
        <w:rPr>
          <w:color w:val="368729"/>
        </w:rPr>
        <w:t>Pest Risk Analysis Summary</w:t>
      </w:r>
    </w:p>
    <w:p>
      <w:pPr/>
      <w:r>
        <w:rPr>
          <w:rFonts w:ascii="arial" w:eastAsia="arial" w:hAnsi="arial" w:cs="arial"/>
          <w:sz w:val="22"/>
          <w:szCs w:val="22"/>
        </w:rPr>
        <w:t>abc</w:t>
      </w:r>
      <w:r>
        <w:br/>
      </w:r>
      <w:r>
        <w:br/>
      </w:r>
    </w:p>
    <w:p>
      <w:pPr>
        <w:pStyle w:val="Heading3"/>
      </w:pPr>
      <w:r>
        <w:rPr>
          <w:color w:val="368729"/>
        </w:rPr>
        <w:t>Next Steps</w:t>
      </w:r>
    </w:p>
    <w:p>
      <w:pPr/>
      <w:r>
        <w:rPr>
          <w:rFonts w:ascii="arial" w:eastAsia="arial" w:hAnsi="arial" w:cs="arial"/>
          <w:sz w:val="22"/>
          <w:szCs w:val="22"/>
        </w:rPr>
        <w:t>abc</w:t>
      </w:r>
      <w:r>
        <w:br/>
      </w:r>
      <w:r>
        <w:br/>
      </w:r>
    </w:p>
    <w:p>
      <w:pPr>
        <w:pStyle w:val="Heading3"/>
      </w:pPr>
      <w:r>
        <w:rPr>
          <w:color w:val="368729"/>
        </w:rPr>
        <w:t>Contact Details</w:t>
      </w:r>
    </w:p>
    <w:p>
      <w:pPr/>
      <w:r>
        <w:rPr>
          <w:rFonts w:ascii="arial" w:eastAsia="arial" w:hAnsi="arial" w:cs="arial"/>
          <w:sz w:val="22"/>
          <w:szCs w:val="22"/>
        </w:rPr>
        <w:t>abc</w:t>
      </w:r>
      <w:r>
        <w:br/>
      </w:r>
      <w:r>
        <w:br/>
      </w:r>
    </w:p>
    <w:p>
      <w:pPr>
        <w:pStyle w:val="Heading2"/>
      </w:pPr>
      <w:r>
        <w:rPr>
          <w:color w:val="368729"/>
        </w:rPr>
        <w:t>References</w:t>
      </w:r>
    </w:p>
    <w:p>
      <w:pPr>
        <w:sectPr>
          <w:footerReference w:type="default" r:id="gemHfRid0"/>
          <w:pgSz w:w="11907" w:h="16839" w:code="9"/>
          <w:pgMar w:top="1361" w:right="983" w:bottom="1361" w:left="983" w:header="708" w:footer="708" w:gutter="0"/>
          <w:cols w:space="708"/>
          <w:docGrid w:linePitch="360"/>
        </w:sectPr>
      </w:pPr>
      <w:r>
        <w:rPr>
          <w:rFonts w:ascii="arial" w:eastAsia="arial" w:hAnsi="arial" w:cs="arial"/>
          <w:sz w:val="22"/>
          <w:szCs w:val="22"/>
        </w:rPr>
        <w:t>Text entered -First reference</w:t>
      </w:r>
      <w:r>
        <w:br/>
      </w:r>
      <w:r>
        <w:br/>
      </w:r>
    </w:p>
    <w:p>
      <w:pPr/>
      <w:r>
        <w:br/>
      </w:r>
      <w:r>
        <w:br/>
      </w:r>
      <w:r>
        <w:t xml:space="preserve">This report was generated using the CABI PRA tool </w:t>
      </w:r>
      <w:hyperlink r:id="gemHypRid1">
        <w:r>
          <w:rPr>
            <w:rStyle w:val="Hyperlink"/>
          </w:rPr>
          <w:t>https://www.cabi.org/PRA-Tool/</w:t>
        </w:r>
      </w:hyperlink>
    </w:p>
    <w:sectPr>
      <w:footerReference w:type="default" r:id="gemHfRid2"/>
      <w:type w:val="continuous"/>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w:p>
    <w:pPr>
      <w:jc w:val="right"/>
    </w:pPr>
    <w:r>
      <w:fldChar w:fldCharType="begin"/>
    </w:r>
    <w:r>
      <w:instrText xml:space="preserve">PAGE </w:instrText>
    </w:r>
    <w:r>
      <w:fldChar w:fldCharType="end"/>
    </w:r>
    <w:r>
      <w:t xml:space="preserve"> of </w:t>
    </w:r>
    <w:r>
      <w:fldChar w:fldCharType="begin"/>
    </w:r>
    <w:r>
      <w:instrText xml:space="preserve">NUMPAGES </w:instrTex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z w:val="22"/>
      <w:szCs w:val="22"/>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fRid0" Type="http://schemas.openxmlformats.org/officeDocument/2006/relationships/footer" Target="footer1.xml" /><Relationship Id="gemHypRid1" Type="http://schemas.openxmlformats.org/officeDocument/2006/relationships/hyperlink" Target="https://www.cabi.org/PRA-Tool/" TargetMode="External" /><Relationship Id="gemHfRid2" Type="http://schemas.openxmlformats.org/officeDocument/2006/relationships/footer" Target="footer2.xm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