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19 July 2021</w:t>
      </w:r>
    </w:p>
    <w:p>
      <w:pPr>
        <w:tabs>
          <w:tab w:pos="1840" w:val="left"/>
        </w:tabs>
      </w:pPr>
      <w:r>
        <w:rPr>
          <w:b/>
          <w:bCs/>
        </w:rPr>
        <w:t>Last modified:</w:t>
      </w:r>
      <w:r>
        <w:tab/>
      </w:r>
      <w:r>
        <w:t>19 July 2021</w:t>
      </w:r>
    </w:p>
    <w:p>
      <w:pPr>
        <w:tabs>
          <w:tab w:pos="1840" w:val="left"/>
        </w:tabs>
      </w:pPr>
      <w:r>
        <w:rPr>
          <w:b/>
          <w:bCs/>
        </w:rPr>
        <w:t>PRA Session:</w:t>
      </w:r>
      <w:r>
        <w:tab/>
      </w:r>
      <w:r>
        <w:t>P06838</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19 July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19 July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19 July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19 July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19 July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19 July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19 July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(19/07/2021)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19 July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19 July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19 July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r>
        <w:rPr>
          <w:rFonts w:ascii="arial" w:eastAsia="arial" w:hAnsi="arial" w:cs="arial"/>
          <w:sz w:val="22"/>
          <w:szCs w:val="22"/>
        </w:rPr>
        <w:t>[To be completed]</w:t>
      </w:r>
    </w:p>
    <w:p>
      <w:pPr/>
    </w:p>
    <w:p>
      <w:pPr>
        <w:pStyle w:val="Heading4"/>
      </w:pPr>
      <w:r>
        <w:t>Next steps</w:t>
      </w:r>
    </w:p>
    <w:p>
      <w:pPr/>
      <w:r>
        <w:rPr>
          <w:rFonts w:ascii="arial" w:eastAsia="arial" w:hAnsi="arial" w:cs="arial"/>
          <w:sz w:val="22"/>
          <w:szCs w:val="22"/>
        </w:rPr>
        <w:t>[To be completed]</w:t>
      </w:r>
    </w:p>
    <w:p>
      <w:pPr/>
    </w:p>
    <w:p>
      <w:pPr>
        <w:pStyle w:val="Heading4"/>
      </w:pPr>
      <w:r>
        <w:t>Contact Details</w:t>
      </w:r>
    </w:p>
    <w:p>
      <w:pPr/>
      <w:r>
        <w:rPr>
          <w:rFonts w:ascii="arial" w:eastAsia="arial" w:hAnsi="arial" w:cs="arial"/>
          <w:sz w:val="22"/>
          <w:szCs w:val="22"/>
        </w:rPr>
        <w:t>[To be completed]</w:t>
      </w: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p>
    <w:p>
      <w:pPr>
        <w:pStyle w:val="Heading3"/>
      </w:pPr>
      <w:r>
        <w:t>Appendix III Risk assessment template</w:t>
      </w:r>
    </w:p>
    <w:p>
      <w:pPr/>
      <w:r>
        <w:rPr>
          <w:b/>
          <w:bCs/>
          <w:color w:val="368729"/>
        </w:rPr>
        <w:t xml:space="preserve">Species: </w:t>
      </w:r>
      <w:r>
        <w:t>[Species Name]</w:t>
      </w:r>
    </w:p>
    <w:p>
      <w:pPr/>
    </w:p>
    <w:p>
      <w:pPr/>
      <w:r>
        <w:rPr>
          <w:b/>
          <w:bCs/>
          <w:color w:val="368729"/>
        </w:rPr>
        <w:t>Probability of entry</w:t>
      </w:r>
    </w:p>
    <w:p>
      <w:pPr/>
    </w:p>
    <w:p>
      <w:pPr/>
      <w:r>
        <w:rPr>
          <w:b/>
          <w:bCs/>
        </w:rPr>
        <w:t>What is the probability of the pest being associated with the commodity at origin?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expected volume and frequency of import of the commodity will support entry?</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during transport?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or evading existing pest management procedures?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transfer to a suitable host or, in the case of potential weeds, habitat?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entry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establishment</w:t>
      </w:r>
    </w:p>
    <w:p>
      <w:pPr/>
    </w:p>
    <w:p>
      <w:pPr/>
      <w:r>
        <w:rPr>
          <w:b/>
          <w:bCs/>
        </w:rPr>
        <w:t>What is the probability that suitable hosts or, in the case of potential weeds, habitats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probability that suitable vectors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climatic conditions and other abiotic factors will allow the pest to establish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control measures for other pests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natural enemies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other biological characteristics of the pest will enable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establishment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establishment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spread</w:t>
      </w:r>
    </w:p>
    <w:p>
      <w:pPr/>
    </w:p>
    <w:p>
      <w:pPr/>
      <w:r>
        <w:rPr>
          <w:b/>
          <w:bCs/>
        </w:rPr>
        <w:t>What is the expected rate of natural spread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expected rate of spread by vectors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expected rate of spread with commodities or conveyances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spreading to an area of higher economic importance than the area of introduction?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intended use of the commodity increases the rate of spread?</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potential rate of spread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spread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Potential consequences</w:t>
      </w:r>
    </w:p>
    <w:p>
      <w:pPr/>
    </w:p>
    <w:p>
      <w:pPr/>
      <w:r>
        <w:rPr>
          <w:b/>
          <w:bCs/>
        </w:rPr>
        <w:t>What is the level of economic loss to agriculture, forestry or horticulture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economic loss to agriculture, forestry or horticulture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native biodiversity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native biodiversity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ecosystem patterns and processes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ecosystem patterns and processes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social impact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social impact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in the PRA area (for all sectors)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Potential consequences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rPr>
        <w:t xml:space="preserve">Does this pest require phytosanitary measures? </w:t>
      </w:r>
      <w:r>
        <w:rPr>
          <w:b/>
          <w:bCs/>
        </w:rPr>
        <w:t>Y / N</w:t>
      </w:r>
    </w:p>
    <w:p>
      <w:pPr/>
    </w:p>
    <w:p>
      <w:pPr>
        <w:pStyle w:val="Heading3"/>
      </w:pPr>
      <w:r>
        <w:t>Appendix IV Risk management measures template</w:t>
      </w:r>
    </w:p>
    <w:p>
      <w:pPr/>
      <w:r>
        <w:rPr>
          <w:b/>
          <w:bCs/>
          <w:color w:val="368729"/>
        </w:rPr>
        <w:t xml:space="preserve">Species: </w:t>
      </w:r>
      <w:r>
        <w:t>[Species Name]</w:t>
      </w:r>
    </w:p>
    <w:p>
      <w:pPr/>
    </w:p>
    <w:p>
      <w:pPr/>
      <w:r>
        <w:rPr>
          <w:b/>
          <w:bCs/>
          <w:color w:val="368729"/>
        </w:rPr>
        <w:t>At the place of production</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of crop, field or place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Specially protected growing conditions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Maintenance of pest free area, place or site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Resistant cultivars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Specified harvest time to reduce crop infestation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Certification scheme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harvest and during transport</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Removal of specified parts of the plant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Conditions for preparing and packing and storage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In-transit conditions and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period of entry (to reduce availability of susceptible hosts)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At point of entry</w:t>
      </w:r>
    </w:p>
    <w:p>
      <w:pPr/>
    </w:p>
    <w:p>
      <w:pPr>
        <w:tabs>
          <w:tab w:pos="3600" w:val="left"/>
        </w:tabs>
      </w:pPr>
      <w:r>
        <w:rPr>
          <w:b/>
          <w:bCs/>
        </w:rPr>
        <w:t xml:space="preserve">Inspection or testing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entry</w:t>
      </w:r>
    </w:p>
    <w:p>
      <w:pPr/>
    </w:p>
    <w:p>
      <w:pPr>
        <w:tabs>
          <w:tab w:pos="3600" w:val="left"/>
        </w:tabs>
      </w:pPr>
      <w:r>
        <w:rPr>
          <w:b/>
          <w:bCs/>
        </w:rPr>
        <w:t xml:space="preserve">Inspection or testing in post-entry quarantine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Surveillance, containment and eradication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end use or distribution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Other</w:t>
      </w:r>
    </w:p>
    <w:p>
      <w:pPr/>
    </w:p>
    <w:p>
      <w:pPr>
        <w:tabs>
          <w:tab w:pos="3600" w:val="left"/>
        </w:tabs>
      </w:pPr>
      <w:r>
        <w:rPr>
          <w:b/>
          <w:bCs/>
        </w:rPr>
        <w:t xml:space="preserve">Prohibition of commodity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Phytosanitary certification and additional declarations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Risk is similar to other pest(s) already addressed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No risk management option identified for this pest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Risk management summary note</w:t>
      </w:r>
    </w:p>
    <w:p>
      <w:pPr/>
    </w:p>
    <w:p>
      <w:pPr>
        <w:sectPr>
          <w:type w:val="continuous"/>
          <w:pgSz w:w="11907" w:h="16839" w:code="9"/>
          <w:pgMar w:top="1361" w:right="983" w:bottom="1361" w:left="983" w:header="708" w:footer="708" w:gutter="0"/>
          <w:cols w:space="708"/>
          <w:docGrid w:linePitch="360"/>
        </w:sectPr>
      </w:pPr>
      <w:r>
        <w:t>[To be completed]</w:t>
      </w: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