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08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08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P05094</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08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(08/02/2021)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8']/pra:Summary/pra:Questions/pra:ByPestRiskAssessmentPathwayQuestion[./pra:QuestionId='100']/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8']/pra:Summary/pra:Questions/pra:ByPestRiskAssessmentPathwayQuestion[./pra:QuestionId='100']/pra:ConfidenceLevelID" w:storeItemID="59b87d17-f124-4c48-a3cb-c12a2163a9d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8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8']/pra:Summary/pra:Questions/pra:ByPestRiskAssessmentPathwayQuestion[./pra:QuestionId='101']/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8']/pra:Summary/pra:Questions/pra:ByPestRiskAssessmentPathwayQuestion[./pra:QuestionId='101']/pra:ConfidenceLevelID" w:storeItemID="59b87d17-f124-4c48-a3cb-c12a2163a9d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8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8']/pra:Summary/pra:Questions/pra:ByPestRiskAssessmentPathwayQuestion[./pra:QuestionId='102']/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8']/pra:Summary/pra:Questions/pra:ByPestRiskAssessmentPathwayQuestion[./pra:QuestionId='102']/pra:ConfidenceLevelID" w:storeItemID="59b87d17-f124-4c48-a3cb-c12a2163a9d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8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8']/pra:Summary/pra:Questions/pra:ByPestRiskAssessmentPathwayQuestion[./pra:QuestionId='103']/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8']/pra:Summary/pra:Questions/pra:ByPestRiskAssessmentPathwayQuestion[./pra:QuestionId='103']/pra:ConfidenceLevelID" w:storeItemID="59b87d17-f124-4c48-a3cb-c12a2163a9d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8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8']/pra:Summary/pra:Summary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8']/pra:Summary/pra:SummaryConfidenceLevelID" w:storeItemID="59b87d17-f124-4c48-a3cb-c12a2163a9d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6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68']/pra:Summary/pra:IsPathwayMajorMinor" w:storeItemID="59b87d17-f124-4c48-a3cb-c12a2163a9d0"/>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68']/pra:Summary/pra:IsManagementMeasure" w:storeItemID="59b87d17-f124-4c48-a3cb-c12a2163a9d0"/>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9']/pra:Summary/pra:Questions/pra:ByPestRiskAssessmentPathwayQuestion[./pra:QuestionId='100']/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9']/pra:Summary/pra:Questions/pra:ByPestRiskAssessmentPathwayQuestion[./pra:QuestionId='100']/pra:ConfidenceLevelID" w:storeItemID="59b87d17-f124-4c48-a3cb-c12a2163a9d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9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9']/pra:Summary/pra:Questions/pra:ByPestRiskAssessmentPathwayQuestion[./pra:QuestionId='101']/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9']/pra:Summary/pra:Questions/pra:ByPestRiskAssessmentPathwayQuestion[./pra:QuestionId='101']/pra:ConfidenceLevelID" w:storeItemID="59b87d17-f124-4c48-a3cb-c12a2163a9d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9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9']/pra:Summary/pra:Questions/pra:ByPestRiskAssessmentPathwayQuestion[./pra:QuestionId='102']/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9']/pra:Summary/pra:Questions/pra:ByPestRiskAssessmentPathwayQuestion[./pra:QuestionId='102']/pra:ConfidenceLevelID" w:storeItemID="59b87d17-f124-4c48-a3cb-c12a2163a9d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9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9']/pra:Summary/pra:Questions/pra:ByPestRiskAssessmentPathwayQuestion[./pra:QuestionId='103']/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9']/pra:Summary/pra:Questions/pra:ByPestRiskAssessmentPathwayQuestion[./pra:QuestionId='103']/pra:ConfidenceLevelID" w:storeItemID="59b87d17-f124-4c48-a3cb-c12a2163a9d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9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9']/pra:Summary/pra:Summary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9']/pra:Summary/pra:SummaryConfidenceLevelID" w:storeItemID="59b87d17-f124-4c48-a3cb-c12a2163a9d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6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69']/pra:Summary/pra:IsPathwayMajorMinor" w:storeItemID="59b87d17-f124-4c48-a3cb-c12a2163a9d0"/>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69']/pra:Summary/pra:IsManagementMeasure" w:storeItemID="59b87d17-f124-4c48-a3cb-c12a2163a9d0"/>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59b87d17-f124-4c48-a3cb-c12a2163a9d0"/>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59b87d17-f124-4c48-a3cb-c12a2163a9d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59b87d17-f124-4c48-a3cb-c12a2163a9d0"/>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59b87d17-f124-4c48-a3cb-c12a2163a9d0"/>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59b87d17-f124-4c48-a3cb-c12a2163a9d0"/>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59b87d17-f124-4c48-a3cb-c12a2163a9d0"/>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59b87d17-f124-4c48-a3cb-c12a2163a9d0"/>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59b87d17-f124-4c48-a3cb-c12a2163a9d0"/>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59b87d17-f124-4c48-a3cb-c12a2163a9d0"/>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59b87d17-f124-4c48-a3cb-c12a2163a9d0"/>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59b87d17-f124-4c48-a3cb-c12a2163a9d0"/>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59b87d17-f124-4c48-a3cb-c12a2163a9d0"/>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59b87d17-f124-4c48-a3cb-c12a2163a9d0"/>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59b87d17-f124-4c48-a3cb-c12a2163a9d0"/>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2021-02-08T00:00:00</CreateDate>
  <Modified>2021-02-08T07:21:33.46</Modified>
  <SessionNumber>P05094</SessionNumber>
  <SessionID>5094</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5094</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(08/02/2021)&lt;/p&gt;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268</PathwayListID>
      <FormPRAConceptID>326229</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2021-02-08T07:19:36.13</UpdatedDate>
    </PathwaySummary>
    <PathwaySummary>
      <PathwayListID>269</PathwayListID>
      <FormPRAConceptID>326229</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2021-02-08T07:21:33.45</UpdatedDate>
    </PathwaySummary>
  </Pathways>
  <PathwaysWithQuestionsAndSummary>
    <ByPestRiskAssessmentPathway>
      <FormId>5094</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268</PathwayListID>
      <UpdatedDate>2021-02-08T07:19:36.13</UpdatedDate>
    </ByPestRiskAssessmentPathway>
    <ByPestRiskAssessmentPathway>
      <FormId>5094</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269</PathwayListID>
      <UpdatedDate>2021-02-08T07:21:33.45</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5094</FormId>
    <ManagementCompleted>0</ManagementCompleted>
    <LastModifiedDate xsi:nil="true"/>
    <QuestionTypes>
      <ByPestRiskManagementQuestionTypeViewOfByPestRiskManagementQuestionView>
        <QuestionTypeId>9</QuestionTypeId>
        <Questions>
          <ByPestRiskManagementQuestionView>
            <QuestionId>140</QuestionId>
            <PathwayListID>268</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59b87d17-f124-4c48-a3cb-c12a2163a9d0"/>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