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16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16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P05223</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16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(16/02/2021)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0']/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0']/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1']/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1']/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2']/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2']/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Questions/pra:ByPestRiskAssessmentPathwayQuestion[./pra:QuestionId='103']/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Summary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0']/pra:Summary/pra:Summary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90']/pra:Summary/pra:IsPathwayMajorMinor" w:storeItemID="28d9c97f-2a92-4df1-b90b-6951210865e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90']/pra:Summary/pra:IsManagementMeasure" w:storeItemID="28d9c97f-2a92-4df1-b90b-6951210865eb"/>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0']/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0']/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1']/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1']/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2']/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2']/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Questions/pra:ByPestRiskAssessmentPathwayQuestion[./pra:QuestionId='103']/pra: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9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Summary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91']/pra:Summary/pra:SummaryConfidenceLevelID" w:storeItemID="28d9c97f-2a92-4df1-b90b-6951210865e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91']/pra:Summary/pra:IsPathwayMajorMinor" w:storeItemID="28d9c97f-2a92-4df1-b90b-6951210865e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91']/pra:Summary/pra:IsManagementMeasure" w:storeItemID="28d9c97f-2a92-4df1-b90b-6951210865eb"/>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28d9c97f-2a92-4df1-b90b-6951210865e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28d9c97f-2a92-4df1-b90b-6951210865e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28d9c97f-2a92-4df1-b90b-6951210865eb"/>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28d9c97f-2a92-4df1-b90b-6951210865eb"/>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28d9c97f-2a92-4df1-b90b-6951210865eb"/>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28d9c97f-2a92-4df1-b90b-6951210865eb"/>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2021-02-16T00:00:00</CreateDate>
  <Modified>2021-02-16T07:14:44.46</Modified>
  <SessionNumber>P05223</SessionNumber>
  <SessionID>5223</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5223</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(16/02/2021)&lt;/p&gt;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290</PathwayListID>
      <FormPRAConceptID>333520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2021-02-16T07:12:46.58</UpdatedDate>
    </PathwaySummary>
    <PathwaySummary>
      <PathwayListID>291</PathwayListID>
      <FormPRAConceptID>333520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2021-02-16T07:14:44.46</UpdatedDate>
    </PathwaySummary>
  </Pathways>
  <PathwaysWithQuestionsAndSummary>
    <ByPestRiskAssessmentPathway>
      <FormId>5223</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290</PathwayListID>
      <UpdatedDate>2021-02-16T07:12:46.58</UpdatedDate>
    </ByPestRiskAssessmentPathway>
    <ByPestRiskAssessmentPathway>
      <FormId>5223</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291</PathwayListID>
      <UpdatedDate>2021-02-16T07:14:44.46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5223</FormId>
    <ManagementCompleted>0</ManagementCompleted>
    <LastModifiedDate xsi:nil="true"/>
    <QuestionTypes>
      <ByPestRiskManagementQuestionTypeViewOfByPestRiskManagementQuestionView>
        <QuestionTypeId>9</QuestionTypeId>
        <Questions>
          <ByPestRiskManagementQuestionView>
            <QuestionId>140</QuestionId>
            <PathwayListID>290</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28d9c97f-2a92-4df1-b90b-6951210865e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