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pratylenchus india</w:t>
      </w:r>
    </w:p>
    <w:p>
      <w:pPr>
        <w:tabs>
          <w:tab w:pos="2200" w:val="left"/>
        </w:tabs>
      </w:pPr>
      <w:r>
        <w:rPr>
          <w:b/>
          <w:bCs/>
        </w:rPr>
        <w:t>Pest:</w:t>
      </w:r>
      <w:r>
        <w:tab/>
      </w:r>
      <w:r>
        <w:rPr>
          <w:b w:val="false"/>
          <w:bCs w:val="false"/>
        </w:rPr>
        <w:t>Pratylenchus loosi (root lesion nematode)</w:t>
      </w:r>
    </w:p>
    <w:p>
      <w:pPr>
        <w:tabs>
          <w:tab w:pos="2200" w:val="left"/>
        </w:tabs>
      </w:pPr>
      <w:r>
        <w:rPr>
          <w:b/>
          <w:bCs/>
        </w:rPr>
        <w:t>Country/area at risk:</w:t>
      </w:r>
      <w:r>
        <w:tab/>
      </w:r>
      <w:r>
        <w:rPr>
          <w:b w:val="false"/>
          <w:bCs w:val="false"/>
        </w:rPr>
        <w:t>India</w:t>
      </w:r>
      <w:r>
        <w:br/>
      </w:r>
    </w:p>
    <w:p>
      <w:pPr>
        <w:tabs>
          <w:tab w:pos="2200" w:val="left"/>
        </w:tabs>
      </w:pPr>
      <w:r>
        <w:rPr>
          <w:b/>
          <w:bCs/>
        </w:rPr>
        <w:t>Date created:</w:t>
      </w:r>
      <w:r>
        <w:tab/>
      </w:r>
    </w:p>
    <w:p>
      <w:pPr>
        <w:tabs>
          <w:tab w:pos="2200" w:val="left"/>
        </w:tabs>
      </w:pPr>
      <w:r>
        <w:rPr>
          <w:b/>
          <w:bCs/>
        </w:rPr>
        <w:t>Last modified:</w:t>
      </w:r>
      <w:r>
        <w:tab/>
      </w:r>
      <w:r>
        <w:rPr>
          <w:b w:val="false"/>
          <w:bCs w:val="false"/>
        </w:rPr>
        <w:t>25 October 2021</w:t>
      </w:r>
    </w:p>
    <w:p>
      <w:pPr>
        <w:tabs>
          <w:tab w:pos="2200" w:val="left"/>
        </w:tabs>
      </w:pPr>
      <w:r>
        <w:rPr>
          <w:b/>
          <w:bCs/>
        </w:rPr>
        <w:t>PRA number:</w:t>
      </w:r>
      <w:r>
        <w:tab/>
      </w:r>
      <w:r>
        <w:rPr>
          <w:b w:val="false"/>
          <w:bCs w:val="false"/>
        </w:rPr>
        <w:t>P07760</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sz w:val="22"/>
                <w:szCs w:val="22"/>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sz w:val="22"/>
                <w:szCs w:val="22"/>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sz w:val="22"/>
                <w:szCs w:val="22"/>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sz w:val="22"/>
                <w:szCs w:val="22"/>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sz w:val="22"/>
                <w:szCs w:val="22"/>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sz w:val="22"/>
                <w:szCs w:val="22"/>
              </w:rPr>
              <w:t>Details of other previous PRAs for the pest</w:t>
            </w:r>
          </w:p>
        </w:tc>
      </w:tr>
      <w:tr>
        <w:trPr>
          <w:cnfStyle w:val="000000000000"/>
        </w:trPr>
        <w:tc>
          <w:tcPr>
            <w:cnfStyle w:val="000000000000"/>
          </w:tcPr>
          <w:p>
            <w:pPr>
              <w:cnfStyle w:val="000000000000"/>
            </w:pPr>
            <w:r>
              <w:t>Not applicable</w:t>
            </w:r>
          </w:p>
        </w:tc>
      </w:tr>
    </w:tbl>
    <w:p>
      <w:pPr>
        <w:pStyle w:val="Heading2"/>
      </w:pPr>
      <w:r>
        <w:rPr>
          <w:color w:val="368729"/>
        </w:rPr>
        <w:t>Pest Categorization</w:t>
      </w:r>
    </w:p>
    <w:p>
      <w:pPr>
        <w:pStyle w:val="Heading3"/>
      </w:pPr>
      <w:r>
        <w:rPr>
          <w:color w:val="368729"/>
        </w:rPr>
        <w:t>Identity</w:t>
      </w:r>
    </w:p>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p>
      <w:pPr>
        <w:pStyle w:val="Heading3"/>
      </w:pPr>
      <w:r>
        <w:rPr>
          <w:color w:val="368729"/>
        </w:rPr>
        <w:t>Presence or absence in the PRA area</w:t>
      </w:r>
    </w:p>
    <w:p>
      <w:pPr/>
      <w:r>
        <w:rPr>
          <w:rFonts w:ascii="arial" w:eastAsia="arial" w:hAnsi="arial" w:cs="arial"/>
          <w:sz w:val="22"/>
          <w:szCs w:val="22"/>
        </w:rPr>
        <w:t>xyz</w:t>
      </w:r>
      <w:r>
        <w:br/>
      </w:r>
    </w:p>
    <w:p>
      <w:pPr>
        <w:pStyle w:val="Heading3"/>
      </w:pPr>
      <w:r>
        <w:rPr>
          <w:color w:val="368729"/>
        </w:rPr>
        <w:t>Regulatory status of the pest</w:t>
      </w:r>
    </w:p>
    <w:p>
      <w:pPr/>
      <w:r>
        <w:rPr>
          <w:rFonts w:ascii="arial" w:eastAsia="arial" w:hAnsi="arial" w:cs="arial"/>
          <w:sz w:val="22"/>
          <w:szCs w:val="22"/>
        </w:rPr>
        <w:t>Regulated non-quarantine pest, present in the country/area but whose presence in plants for planting affects its intended use</w:t>
      </w:r>
      <w:r>
        <w:br/>
      </w:r>
    </w:p>
    <w:p>
      <w:pPr>
        <w:pStyle w:val="Heading3"/>
      </w:pPr>
      <w:r>
        <w:rPr>
          <w:color w:val="368729"/>
        </w:rPr>
        <w:t>Regulatory status of the pest elsewhere</w:t>
      </w:r>
    </w:p>
    <w:p>
      <w:pPr/>
      <w:r>
        <w:rPr>
          <w:rFonts w:ascii="arial" w:eastAsia="arial" w:hAnsi="arial" w:cs="arial"/>
          <w:sz w:val="22"/>
          <w:szCs w:val="22"/>
        </w:rPr>
        <w:t>xyz</w:t>
      </w:r>
      <w:r>
        <w:br/>
      </w:r>
    </w:p>
    <w:p>
      <w:pPr>
        <w:pStyle w:val="Heading3"/>
      </w:pPr>
      <w:r>
        <w:rPr>
          <w:color w:val="368729"/>
        </w:rPr>
        <w:t>Distribution summary</w:t>
      </w:r>
    </w:p>
    <w:p>
      <w:pPr/>
      <w:r>
        <w:rPr>
          <w:rFonts w:ascii="arial" w:eastAsia="arial" w:hAnsi="arial" w:cs="arial"/>
          <w:sz w:val="22"/>
          <w:szCs w:val="22"/>
        </w:rPr>
        <w:t>xyz</w:t>
      </w:r>
      <w:r>
        <w:br/>
      </w:r>
      <w:r>
        <w:rPr>
          <w:rFonts w:ascii="arial" w:eastAsia="arial" w:hAnsi="arial" w:cs="arial"/>
          <w:sz w:val="22"/>
          <w:szCs w:val="22"/>
        </w:rPr>
        <w:t>Distribution from the Crop Protection Compendium (25/10/2021)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p>
      <w:pPr>
        <w:pStyle w:val="Heading3"/>
      </w:pPr>
      <w:r>
        <w:rPr>
          <w:color w:val="368729"/>
        </w:rPr>
        <w:t>Association with host plants</w:t>
      </w:r>
    </w:p>
    <w:p>
      <w:pPr/>
      <w:r>
        <w:rPr>
          <w:rFonts w:ascii="arial" w:eastAsia="arial" w:hAnsi="arial" w:cs="arial"/>
          <w:sz w:val="22"/>
          <w:szCs w:val="22"/>
        </w:rPr>
        <w:t>xyz</w:t>
      </w:r>
      <w:r>
        <w:br/>
      </w:r>
    </w:p>
    <w:p>
      <w:pPr>
        <w:pStyle w:val="Heading3"/>
      </w:pPr>
      <w:r>
        <w:rPr>
          <w:color w:val="368729"/>
        </w:rPr>
        <w:t>Potential for establishment</w:t>
      </w:r>
    </w:p>
    <w:p>
      <w:pPr/>
      <w:r>
        <w:rPr>
          <w:rFonts w:ascii="arial" w:eastAsia="arial" w:hAnsi="arial" w:cs="arial"/>
          <w:sz w:val="22"/>
          <w:szCs w:val="22"/>
        </w:rPr>
        <w:t>xyz</w:t>
      </w:r>
      <w:r>
        <w:br/>
      </w:r>
    </w:p>
    <w:p>
      <w:pPr>
        <w:pStyle w:val="Heading3"/>
      </w:pPr>
      <w:r>
        <w:rPr>
          <w:color w:val="368729"/>
        </w:rPr>
        <w:t>Potential for economic, social and environmental impact</w:t>
      </w:r>
    </w:p>
    <w:p>
      <w:pPr/>
      <w:r>
        <w:rPr>
          <w:rFonts w:ascii="arial" w:eastAsia="arial" w:hAnsi="arial" w:cs="arial"/>
          <w:sz w:val="22"/>
          <w:szCs w:val="22"/>
        </w:rPr>
        <w:t>xyz</w:t>
      </w:r>
      <w:r>
        <w:br/>
      </w:r>
    </w:p>
    <w:p>
      <w:pPr>
        <w:pStyle w:val="Heading3"/>
      </w:pPr>
      <w:r>
        <w:rPr>
          <w:color w:val="368729"/>
        </w:rPr>
        <w:t>Summary of categorization of Pratylenchus loosi (root lesion nematode)</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Does the pest have the potential to qualify as a quarantine pest?</w:t>
            </w:r>
          </w:p>
        </w:tc>
        <w:tc>
          <w:tcPr>
            <w:cnfStyle w:val="000000000000"/>
          </w:tcPr>
          <w:p>
            <w:pPr>
              <w:cnfStyle w:val="000000000000"/>
              <w:jc w:val="right"/>
            </w:pPr>
            <w:r>
              <w:t>Yes</w:t>
            </w:r>
          </w:p>
        </w:tc>
      </w:tr>
      <w:tr>
        <w:trPr>
          <w:cnfStyle w:val="000000000000"/>
        </w:trPr>
        <w:tc>
          <w:p>
            <w:pPr/>
          </w:p>
        </w:tc>
      </w:tr>
    </w:tbl>
    <w:p>
      <w:pPr>
        <w:pStyle w:val="Heading2"/>
      </w:pPr>
      <w:r>
        <w:rPr>
          <w:color w:val="368729"/>
        </w:rPr>
        <w:t>Risk Assessment</w:t>
      </w:r>
    </w:p>
    <w:p>
      <w:pPr>
        <w:pStyle w:val="Heading3"/>
      </w:pPr>
      <w:r>
        <w:rPr>
          <w:color w:val="368729"/>
        </w:rPr>
        <w:t>Probability of entry</w:t>
      </w:r>
    </w:p>
    <w:p>
      <w:pPr>
        <w:pStyle w:val="Heading4"/>
      </w:pPr>
      <w:r>
        <w:rPr>
          <w:color w:val="368729"/>
        </w:rPr>
        <w:t>Pathway: Plants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entry summary: Plants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Yes</w:t>
            </w:r>
          </w:p>
        </w:tc>
      </w:tr>
      <w:tr>
        <w:trPr>
          <w:cnfStyle w:val="000000000000"/>
        </w:trPr>
        <w:tc>
          <w:p>
            <w:pPr/>
          </w:p>
        </w:tc>
      </w:tr>
    </w:tbl>
    <w:p>
      <w:pPr>
        <w:pStyle w:val="Heading4"/>
      </w:pPr>
      <w:r>
        <w:rPr>
          <w:color w:val="368729"/>
        </w:rPr>
        <w:t>Pathway: Seeds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entry summary: Seeds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No</w:t>
            </w:r>
          </w:p>
        </w:tc>
      </w:tr>
      <w:tr>
        <w:trPr>
          <w:cnfStyle w:val="000000000000"/>
        </w:trPr>
        <w:tc>
          <w:p>
            <w:pPr/>
          </w:p>
        </w:tc>
      </w:tr>
    </w:tbl>
    <w:p>
      <w:pPr>
        <w:pStyle w:val="Heading4"/>
      </w:pPr>
      <w:r>
        <w:rPr>
          <w:color w:val="368729"/>
        </w:rPr>
        <w:t>Probability of entry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pStyle w:val="Heading3"/>
      </w:pPr>
      <w:r>
        <w:rPr>
          <w:color w:val="368729"/>
        </w:rPr>
        <w:t>Probability of establishment</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probability that other biological characteristics of the pest will enable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probability of establishment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establishment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pPr>
      <w:r>
        <w:rPr>
          <w:color w:val="368729"/>
        </w:rPr>
        <w:t>Probability of spread</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expected rate of natural spread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expected rate of spread by vectors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expected rate of spread with commodities or conveyances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If a commodity pathway has been identified as one of the pathways of entry, what is the probability that the intended use of the commodity increases the rate of spread?</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potential rate of spread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spread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pPr>
      <w:r>
        <w:rPr>
          <w:color w:val="368729"/>
        </w:rPr>
        <w:t>Potential economic, environmental and social consequences</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(25/10/2021)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level of potential economic loss to agriculture, forestry or horticulture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level of potential negative impact on native biodiversity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level of potential negative impact on ecosystem patterns and processes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8. What is the level of potential negative social impact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Potential consequences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2"/>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the pest require phytosanitary measures? </w:t>
            </w:r>
          </w:p>
        </w:tc>
        <w:tc>
          <w:tcPr>
            <w:cnfStyle w:val="000000000000"/>
          </w:tcPr>
          <w:p>
            <w:pPr>
              <w:cnfStyle w:val="000000000000"/>
              <w:jc w:val="right"/>
            </w:pPr>
            <w:r>
              <w:t>Yes</w:t>
            </w:r>
          </w:p>
        </w:tc>
      </w:tr>
      <w:tr>
        <w:trPr>
          <w:cnfStyle w:val="000000000000"/>
        </w:trPr>
        <w:tc>
          <w:p>
            <w:pPr/>
          </w:p>
        </w:tc>
      </w:tr>
    </w:tbl>
    <w:p>
      <w:pPr>
        <w:spacing w:lineRule="auto" w:line="276"/>
      </w:pPr>
    </w:p>
    <w:p>
      <w:pPr/>
      <w:r>
        <w:rPr>
          <w:rFonts w:ascii="arial" w:eastAsia="arial" w:hAnsi="arial" w:cs="arial"/>
          <w:sz w:val="22"/>
          <w:szCs w:val="22"/>
        </w:rPr>
        <w:t>summary notes</w:t>
      </w:r>
      <w:r>
        <w:br/>
      </w:r>
      <w:r>
        <w:br/>
      </w:r>
    </w:p>
    <w:p>
      <w:pPr>
        <w:pStyle w:val="Heading2"/>
      </w:pPr>
      <w:r>
        <w:rPr>
          <w:color w:val="368729"/>
        </w:rPr>
        <w:t>Risk Management</w:t>
      </w:r>
    </w:p>
    <w:p>
      <w:pPr>
        <w:pStyle w:val="Heading3"/>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Plants for planting</w:t>
            </w:r>
          </w:p>
        </w:tc>
        <w:tc>
          <w:tcPr>
            <w:cnfStyle w:val="000000000000"/>
          </w:tcPr>
          <w:p>
            <w:pPr>
              <w:cnfStyle w:val="000000000000"/>
            </w:pPr>
          </w:p>
        </w:tc>
      </w:tr>
    </w:tbl>
    <w:p>
      <w:pPr>
        <w:pStyle w:val="Heading3"/>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3"/>
      </w:pPr>
      <w:r>
        <w:rPr>
          <w:color w:val="368729"/>
        </w:rPr>
        <w:t>Other</w:t>
      </w:r>
    </w:p>
    <w:p>
      <w:pPr>
        <w:pStyle w:val="Heading3"/>
      </w:pPr>
      <w:r>
        <w:rPr>
          <w:color w:val="368729"/>
        </w:rPr>
        <w:t>Risk management summary</w:t>
      </w:r>
    </w:p>
    <w:p>
      <w:pPr/>
      <w:r>
        <w:rPr>
          <w:rFonts w:ascii="arial" w:eastAsia="arial" w:hAnsi="arial" w:cs="arial"/>
          <w:sz w:val="22"/>
          <w:szCs w:val="22"/>
        </w:rPr>
        <w:t>summary</w:t>
      </w:r>
      <w:r>
        <w:br/>
      </w:r>
      <w:r>
        <w:br/>
      </w:r>
    </w:p>
    <w:p>
      <w:pPr>
        <w:pStyle w:val="Heading2"/>
      </w:pPr>
      <w:r>
        <w:rPr>
          <w:color w:val="368729"/>
        </w:rPr>
        <w:t>Pest Risk Analysis Summary</w:t>
      </w:r>
    </w:p>
    <w:p>
      <w:pPr/>
      <w:r>
        <w:rPr>
          <w:rFonts w:ascii="arial" w:eastAsia="arial" w:hAnsi="arial" w:cs="arial"/>
          <w:sz w:val="22"/>
          <w:szCs w:val="22"/>
        </w:rPr>
        <w:t>abc</w:t>
      </w:r>
      <w:r>
        <w:br/>
      </w:r>
      <w:r>
        <w:br/>
      </w:r>
    </w:p>
    <w:p>
      <w:pPr>
        <w:pStyle w:val="Heading3"/>
      </w:pPr>
      <w:r>
        <w:rPr>
          <w:color w:val="368729"/>
        </w:rPr>
        <w:t>Next Steps</w:t>
      </w:r>
    </w:p>
    <w:p>
      <w:pPr/>
      <w:r>
        <w:rPr>
          <w:rFonts w:ascii="arial" w:eastAsia="arial" w:hAnsi="arial" w:cs="arial"/>
          <w:sz w:val="22"/>
          <w:szCs w:val="22"/>
        </w:rPr>
        <w:t>abc</w:t>
      </w:r>
      <w:r>
        <w:br/>
      </w:r>
      <w:r>
        <w:br/>
      </w:r>
    </w:p>
    <w:p>
      <w:pPr>
        <w:pStyle w:val="Heading3"/>
      </w:pPr>
      <w:r>
        <w:rPr>
          <w:color w:val="368729"/>
        </w:rPr>
        <w:t>Contact Details</w:t>
      </w:r>
    </w:p>
    <w:p>
      <w:pPr/>
      <w:r>
        <w:rPr>
          <w:rFonts w:ascii="arial" w:eastAsia="arial" w:hAnsi="arial" w:cs="arial"/>
          <w:sz w:val="22"/>
          <w:szCs w:val="22"/>
        </w:rPr>
        <w:t>abc</w:t>
      </w:r>
      <w:r>
        <w:br/>
      </w:r>
      <w:r>
        <w:br/>
      </w:r>
    </w:p>
    <w:p>
      <w:pPr>
        <w:pStyle w:val="Heading2"/>
      </w:pPr>
      <w:r>
        <w:rPr>
          <w:color w:val="368729"/>
        </w:rPr>
        <w:t>References</w:t>
      </w:r>
    </w:p>
    <w:p>
      <w:pPr>
        <w:sectPr>
          <w:footerReference w:type="default" r:id="gemHfRid0"/>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footerReference w:type="default" r:id="gemHfRid2"/>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z w:val="22"/>
      <w:szCs w:val="22"/>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fRid0" Type="http://schemas.openxmlformats.org/officeDocument/2006/relationships/footer" Target="footer1.xml" /><Relationship Id="gemHypRid1" Type="http://schemas.openxmlformats.org/officeDocument/2006/relationships/hyperlink" Target="https://www.cabi.org/PRA-Tool/" TargetMode="External" /><Relationship Id="gemHfRid2"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