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01 December 2021</w:t>
      </w:r>
    </w:p>
    <w:p>
      <w:pPr>
        <w:tabs>
          <w:tab w:pos="2600" w:val="left"/>
        </w:tabs>
        <w:ind w:left="2600" w:hanging="2600"/>
      </w:pPr>
      <w:r>
        <w:rPr>
          <w:b/>
          <w:bCs/>
        </w:rPr>
        <w:t>Last modified:</w:t>
      </w:r>
      <w:r>
        <w:tab/>
      </w:r>
      <w:r>
        <w:t>01 December 2021</w:t>
      </w:r>
    </w:p>
    <w:p>
      <w:pPr>
        <w:tabs>
          <w:tab w:pos="2600" w:val="left"/>
        </w:tabs>
        <w:ind w:left="2600" w:hanging="2600"/>
      </w:pPr>
      <w:r>
        <w:rPr>
          <w:b/>
          <w:bCs/>
        </w:rPr>
        <w:t>PRA number:</w:t>
      </w:r>
      <w:r>
        <w:tab/>
      </w:r>
      <w:r>
        <w:t>P000008142</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p>
    <w:p>
      <w:pPr>
        <w:pStyle w:val="Heading3"/>
        <w:jc w:val="left"/>
      </w:pPr>
      <w:r>
        <w:rPr>
          <w:color w:val="368729"/>
        </w:rPr>
        <w:t>Next Steps</w:t>
      </w:r>
    </w:p>
    <w:p>
      <w:pPr/>
    </w:p>
    <w:p>
      <w:pPr>
        <w:pStyle w:val="Heading3"/>
        <w:jc w:val="left"/>
      </w:pPr>
      <w:r>
        <w:rPr>
          <w:color w:val="368729"/>
        </w:rPr>
        <w:t>Contact Details</w:t>
      </w:r>
    </w:p>
    <w:p>
      <w:pP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(01/12/2021).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