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P000008317</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required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Completed</w:t>
            </w:r>
          </w:p>
        </w:tc>
        <w:tc>
          <w:tcPr>
            <w:cnfStyle w:val="000000000000"/>
          </w:tcPr>
          <w:p>
            <w:pPr>
              <w:cnfStyle w:val="000000000000"/>
            </w:pPr>
            <w:r>
              <w:t>Yes</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798"/>
        <w:gridCol w:w="5358"/>
        <w:gridCol w:w="714"/>
        <w:gridCol w:w="2024"/>
        <w:gridCol w:w="2024"/>
        <w:gridCol w:w="2024"/>
        <w:gridCol w:w="2024"/>
      </w:tblGrid>
      <w:tr>
        <w:trPr>
          <w:cnfStyle w:val="100000000000"/>
          <w:trHeight w:hRule="atLeast" w:val="2117"/>
        </w:trPr>
        <w:tc>
          <w:tcPr>
            <w:cnfStyle w:val="100000000000"/>
            <w:textDirection w:val="btLr"/>
          </w:tcPr>
          <w:p>
            <w:pPr>
              <w:cnfStyle w:val="100000000000"/>
            </w:pPr>
            <w:r>
              <w:rPr>
                <w:sz w:val="22"/>
                <w:szCs w:val="22"/>
              </w:rPr>
              <w:t>Type</w:t>
            </w:r>
          </w:p>
        </w:tc>
        <w:tc>
          <w:tcPr>
            <w:cnfStyle w:val="100000000000"/>
            <w:textDirection w:val="btLr"/>
          </w:tcPr>
          <w:p>
            <w:pPr>
              <w:cnfStyle w:val="100000000000"/>
            </w:pPr>
            <w:r>
              <w:rPr>
                <w:sz w:val="22"/>
                <w:szCs w:val="22"/>
              </w:rPr>
              <w:t>Species</w:t>
            </w:r>
          </w:p>
        </w:tc>
        <w:tc>
          <w:tcPr>
            <w:cnfStyle w:val="100000000000"/>
            <w:textDirection w:val="btLr"/>
          </w:tcPr>
          <w:p>
            <w:pPr>
              <w:cnfStyle w:val="100000000000"/>
            </w:pPr>
            <w:r>
              <w:rPr>
                <w:sz w:val="22"/>
                <w:szCs w:val="22"/>
              </w:rPr>
              <w:t>Regulatory status</w:t>
            </w:r>
          </w:p>
        </w:tc>
        <w:tc>
          <w:tcPr>
            <w:cnfStyle w:val="100000000000"/>
            <w:textDirection w:val="btLr"/>
          </w:tcPr>
          <w:p>
            <w:pPr>
              <w:cnfStyle w:val="100000000000"/>
            </w:pPr>
            <w:r>
              <w:rPr>
                <w:sz w:val="22"/>
                <w:szCs w:val="22"/>
              </w:rPr>
              <w:t>Probability of entry</w:t>
            </w:r>
          </w:p>
        </w:tc>
        <w:tc>
          <w:tcPr>
            <w:cnfStyle w:val="100000000000"/>
            <w:textDirection w:val="btLr"/>
          </w:tcPr>
          <w:p>
            <w:pPr>
              <w:cnfStyle w:val="100000000000"/>
            </w:pPr>
            <w:r>
              <w:rPr>
                <w:sz w:val="22"/>
                <w:szCs w:val="22"/>
              </w:rPr>
              <w:t>Probability of establishment</w:t>
            </w:r>
          </w:p>
        </w:tc>
        <w:tc>
          <w:tcPr>
            <w:cnfStyle w:val="100000000000"/>
            <w:textDirection w:val="btLr"/>
          </w:tcPr>
          <w:p>
            <w:pPr>
              <w:cnfStyle w:val="100000000000"/>
            </w:pPr>
            <w:r>
              <w:rPr>
                <w:sz w:val="22"/>
                <w:szCs w:val="22"/>
              </w:rPr>
              <w:t>Probability of spread</w:t>
            </w:r>
          </w:p>
        </w:tc>
        <w:tc>
          <w:tcPr>
            <w:cnfStyle w:val="100000000000"/>
            <w:textDirection w:val="btLr"/>
          </w:tcPr>
          <w:p>
            <w:pPr>
              <w:cnfStyle w:val="100000000000"/>
            </w:pPr>
            <w:r>
              <w:rPr>
                <w:sz w:val="22"/>
                <w:szCs w:val="22"/>
              </w:rPr>
              <w:t>Potential consequences</w:t>
            </w:r>
          </w:p>
        </w:tc>
      </w:tr>
      <w:tr>
        <w:trPr>
          <w:cnfStyle w:val="000000000000"/>
          <w:cantSplit/>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c>
          <w:tcPr>
            <w:cnfStyle w:val="000000000000"/>
          </w:tcPr>
          <w:p>
            <w:pPr>
              <w:cnfStyle w:val="000000000000"/>
            </w:pPr>
          </w:p>
        </w:tc>
      </w:tr>
    </w:tbl>
    <w:p>
      <w:pPr>
        <w:pStyle w:val="Heading2"/>
        <w:jc w:val="left"/>
      </w:pPr>
      <w:r>
        <w:rPr>
          <w:color w:val="368729"/>
        </w:rPr>
        <w:t>Risk Management Summary</w:t>
      </w:r>
    </w:p>
    <w:p>
      <w:pPr/>
      <w:r>
        <w:t>Further details of individual risk management measures by pest are provided in Appendix 4.</w:t>
      </w:r>
      <w:r>
        <w:br/>
      </w:r>
    </w:p>
    <w:p>
      <w:pPr>
        <w:pStyle w:val="Heading3"/>
        <w:jc w:val="left"/>
      </w:pPr>
      <w:r>
        <w:rPr>
          <w:color w:val="368729"/>
        </w:rPr>
        <w:t>At the place of production</w:t>
      </w:r>
    </w:p>
    <w:p>
      <w:pPr/>
      <w:r>
        <w:rPr>
          <w:b/>
          <w:bCs/>
          <w:sz w:val="22"/>
          <w:szCs w:val="22"/>
        </w:rP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 xml:space="preserve">Anomis mesogona </w:t>
            </w:r>
          </w:p>
        </w:tc>
        <w:tc>
          <w:tcPr>
            <w:cnfStyle w:val="000000000000"/>
          </w:tcPr>
          <w:p>
            <w:pPr>
              <w:cnfStyle w:val="000000000000"/>
            </w:pPr>
            <w:r>
              <w:rPr>
                <w:rFonts w:ascii="arial" w:eastAsia="arial" w:hAnsi="arial" w:cs="arial"/>
                <w:sz w:val="22"/>
                <w:szCs w:val="22"/>
              </w:rPr>
              <w:t>xyz</w:t>
            </w:r>
            <w:r>
              <w:br/>
            </w:r>
            <w:r>
              <w:br/>
            </w:r>
          </w:p>
        </w:tc>
      </w:tr>
    </w:tbl>
    <w:p>
      <w:pPr/>
    </w:p>
    <w:p>
      <w:pPr>
        <w:pStyle w:val="Heading2"/>
        <w:jc w:val="left"/>
      </w:pPr>
      <w:r>
        <w:rPr>
          <w:color w:val="368729"/>
        </w:rPr>
        <w:t>Pest Risk Analysis Summary</w:t>
      </w:r>
    </w:p>
    <w:p>
      <w:pPr/>
    </w:p>
    <w:p>
      <w:pPr>
        <w:pStyle w:val="Heading3"/>
        <w:jc w:val="left"/>
      </w:pPr>
      <w:r>
        <w:rPr>
          <w:color w:val="368729"/>
        </w:rPr>
        <w:t>Next Steps</w:t>
      </w:r>
    </w:p>
    <w:p>
      <w:pPr/>
    </w:p>
    <w:p>
      <w:pPr>
        <w:pStyle w:val="Heading3"/>
        <w:jc w:val="left"/>
      </w:pPr>
      <w:r>
        <w:rPr>
          <w:color w:val="368729"/>
        </w:rPr>
        <w:t>Contact Details</w:t>
      </w:r>
    </w:p>
    <w:p>
      <w:pP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Cuscuta reflexa (dodder)</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000000000000"/>
        </w:trPr>
        <w:tc>
          <w:tcPr>
            <w:cnfStyle w:val="000000000000"/>
            <w:vMerge w:val="restart"/>
          </w:tcPr>
          <w:p>
            <w:pPr>
              <w:cnfStyle w:val="000000000000"/>
            </w:pPr>
            <w:r>
              <w:t>Type</w:t>
            </w:r>
          </w:p>
        </w:tc>
        <w:tc>
          <w:tcPr>
            <w:cnfStyle w:val="000000000000"/>
            <w:vMerge w:val="restart"/>
          </w:tcPr>
          <w:p>
            <w:pPr>
              <w:cnfStyle w:val="000000000000"/>
            </w:pPr>
            <w:r>
              <w:t>Species</w:t>
            </w:r>
          </w:p>
        </w:tc>
        <w:tc>
          <w:tcPr>
            <w:cnfStyle w:val="000000000000"/>
            <w:vMerge w:val="restart"/>
          </w:tcPr>
          <w:p>
            <w:pPr>
              <w:cnfStyle w:val="000000000000"/>
            </w:pPr>
            <w:r>
              <w:t>Regulatory Status</w:t>
            </w:r>
          </w:p>
        </w:tc>
        <w:tc>
          <w:tcPr>
            <w:cnfStyle w:val="000000000000"/>
            <w:gridSpan w:val="2"/>
          </w:tcPr>
          <w:p>
            <w:pPr>
              <w:cnfStyle w:val="000000000000"/>
              <w:jc w:val="center"/>
            </w:pPr>
            <w:r>
              <w:t>Rapid assessment</w:t>
            </w:r>
          </w:p>
        </w:tc>
      </w:tr>
      <w:tr>
        <w:trPr>
          <w:cnfStyle w:val="000000000000"/>
        </w:trPr>
        <w:tc>
          <w:tcPr>
            <w:cnfStyle w:val="000000000000"/>
            <w:vMerge/>
          </w:tcPr>
          <w:p>
            <w:pPr/>
          </w:p>
        </w:tc>
        <w:tc>
          <w:tcPr>
            <w:cnfStyle w:val="000000000000"/>
            <w:vMerge/>
          </w:tcPr>
          <w:p>
            <w:pPr/>
          </w:p>
        </w:tc>
        <w:tc>
          <w:tcPr>
            <w:cnfStyle w:val="0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No</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r>
    </w:tbl>
    <w:p>
      <w:pPr/>
    </w:p>
    <w:p>
      <w:pPr>
        <w:pStyle w:val="Heading2"/>
        <w:jc w:val="left"/>
      </w:pPr>
      <w:r>
        <w:rPr>
          <w:color w:val="368729"/>
        </w:rPr>
        <w:t>Appendix 4. Individual Pest PRAs</w:t>
      </w:r>
    </w:p>
    <w:p>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pStyle w:val="Heading2"/>
        <w:jc w:val="left"/>
      </w:pPr>
      <w:r>
        <w:rPr>
          <w:color w:val="368729"/>
        </w:rPr>
        <w:t>Species: Anomis mesogona</w:t>
      </w:r>
    </w:p>
    <w:p>
      <w:pPr>
        <w:pStyle w:val="Heading3"/>
        <w:jc w:val="left"/>
      </w:pPr>
      <w:r>
        <w:rPr>
          <w:color w:val="262626"/>
        </w:rPr>
        <w:t>Risk Assessment</w:t>
      </w:r>
    </w:p>
    <w:p>
      <w:pPr>
        <w:pStyle w:val="Heading3"/>
        <w:jc w:val="left"/>
      </w:pPr>
      <w:r>
        <w:rPr>
          <w:color w:val="368729"/>
        </w:rPr>
        <w:t>Probability of entry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commodity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p>
      <w:pPr>
        <w:pStyle w:val="Heading4"/>
        <w:jc w:val="left"/>
      </w:pPr>
      <w:r>
        <w:rPr>
          <w:color w:val="368729"/>
        </w:rPr>
        <w:t>Probability of entry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Low</w:t>
            </w:r>
          </w:p>
        </w:tc>
      </w:tr>
    </w:tbl>
    <w:p>
      <w:pPr/>
    </w:p>
    <w:p>
      <w:pPr/>
    </w:p>
    <w:p>
      <w:pPr>
        <w:pStyle w:val="Heading4"/>
        <w:jc w:val="left"/>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p>
      <w:pPr>
        <w:pStyle w:val="Heading4"/>
        <w:jc w:val="left"/>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Style w:val="Heading3"/>
        <w:jc w:val="left"/>
      </w:pPr>
      <w:r>
        <w:rPr>
          <w:color w:val="368729"/>
        </w:rPr>
        <w:t>Potential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Low</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p>
    <w:p>
      <w:pPr>
        <w:pStyle w:val="Heading4"/>
        <w:jc w:val="left"/>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p>
        </w:tc>
      </w:tr>
    </w:tbl>
    <w:p>
      <w:pPr/>
    </w:p>
    <w:p>
      <w:pPr/>
    </w:p>
    <w:p>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pest require phytosanitary measures? </w:t>
            </w:r>
          </w:p>
        </w:tc>
        <w:tc>
          <w:tcPr>
            <w:cnfStyle w:val="000000000000"/>
          </w:tcPr>
          <w:p>
            <w:pPr>
              <w:cnfStyle w:val="000000000000"/>
              <w:jc w:val="right"/>
            </w:pPr>
            <w:r>
              <w:t>Yes</w:t>
            </w:r>
          </w:p>
        </w:tc>
      </w:tr>
      <w:tr>
        <w:trPr>
          <w:cnfStyle w:val="000000000000"/>
        </w:trPr>
        <w:tc>
          <w:p>
            <w:pPr/>
          </w:p>
        </w:tc>
      </w:tr>
    </w:tbl>
    <w:p>
      <w:pPr>
        <w:pStyle w:val="Heading3"/>
        <w:jc w:val="left"/>
      </w:pPr>
      <w:r>
        <w:rPr>
          <w:color w:val="262626"/>
        </w:rPr>
        <w:t>Risk Management</w:t>
      </w:r>
    </w:p>
    <w:p>
      <w:pPr>
        <w:pStyle w:val="Heading3"/>
        <w:jc w:val="left"/>
      </w:pPr>
      <w:r>
        <w:rPr>
          <w:color w:val="368729"/>
        </w:rPr>
        <w:t>At the place of production</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000000000000"/>
        </w:trPr>
        <w:tc>
          <w:tcPr>
            <w:cnfStyle w:val="000000000000"/>
          </w:tcPr>
          <w:p>
            <w:pPr>
              <w:cnfStyle w:val="000000000000"/>
            </w:pPr>
            <w:r>
              <w:t>Management option</w:t>
            </w:r>
          </w:p>
        </w:tc>
        <w:tc>
          <w:tcPr>
            <w:cnfStyle w:val="000000000000"/>
          </w:tcPr>
          <w:p>
            <w:pPr>
              <w:cnfStyle w:val="000000000000"/>
            </w:pPr>
            <w:r>
              <w:t>Notes</w:t>
            </w:r>
          </w:p>
        </w:tc>
      </w:tr>
      <w:tr>
        <w:trPr>
          <w:cnfStyle w:val="000000000000"/>
        </w:trPr>
        <w:tc>
          <w:tcPr>
            <w:cnfStyle w:val="000000000000"/>
          </w:tcPr>
          <w:p>
            <w:pPr>
              <w:cnfStyle w:val="000000000000"/>
              <w:spacing w:lineRule="auto" w:line="276"/>
            </w:pPr>
            <w:r>
              <w:rPr>
                <w:b/>
                <w:bCs/>
              </w:rPr>
              <w:t>Inspection or testing</w:t>
            </w:r>
          </w:p>
        </w:tc>
        <w:tc>
          <w:tcPr>
            <w:cnfStyle w:val="000000000000"/>
          </w:tcPr>
          <w:p>
            <w:pPr>
              <w:cnfStyle w:val="000000000000"/>
            </w:pPr>
            <w:r>
              <w:rPr>
                <w:rFonts w:ascii="arial" w:eastAsia="arial" w:hAnsi="arial" w:cs="arial"/>
                <w:sz w:val="22"/>
                <w:szCs w:val="22"/>
              </w:rPr>
              <w:t>xyz</w:t>
            </w:r>
            <w:r>
              <w:br/>
            </w:r>
            <w:r>
              <w:br/>
            </w:r>
          </w:p>
        </w:tc>
      </w:tr>
    </w:tbl>
    <w:p>
      <w:pPr>
        <w:pStyle w:val="Heading3"/>
        <w:jc w:val="left"/>
      </w:pPr>
      <w:r>
        <w:rPr>
          <w:color w:val="368729"/>
        </w:rPr>
        <w:t xml:space="preserve">Risk management summary for Anomis mesogona </w:t>
      </w:r>
    </w:p>
    <w:p>
      <w:pPr/>
      <w:r>
        <w:rPr>
          <w:rFonts w:ascii="arial" w:eastAsia="arial" w:hAnsi="arial" w:cs="arial"/>
          <w:sz w:val="22"/>
          <w:szCs w:val="22"/>
        </w:rPr>
        <w:t>inspection and testing selected</w:t>
      </w:r>
      <w:r>
        <w:br/>
      </w:r>
      <w:r>
        <w:br/>
      </w:r>
    </w:p>
    <w:p>
      <w:pPr/>
    </w:p>
    <w:p>
      <w:pPr>
        <w:jc w:val="center"/>
        <w:sectPr>
          <w:footerReference w:type="default" r:id="gemHfRid2"/>
          <w:type w:val="continuous"/>
          <w:pgSz w:w="11907" w:h="16839" w:code="9"/>
          <w:pgMar w:top="1361" w:right="983" w:bottom="1361" w:left="983" w:header="708" w:footer="708" w:gutter="0"/>
          <w:cols w:space="708"/>
          <w:docGrid w:linePitch="360"/>
        </w:sectPr>
      </w:pPr>
      <w:r>
        <w:rPr>
          <w:b/>
          <w:bCs/>
        </w:rPr>
        <w:t>----------------------------------------------------------------</w:t>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