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AutomationList</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tabs>
          <w:tab w:pos="2600" w:val="left"/>
        </w:tabs>
        <w:ind w:left="2600" w:hanging="2600"/>
      </w:pPr>
      <w:r>
        <w:rPr>
          <w:b/>
          <w:bCs/>
        </w:rPr>
        <w:t>Date created:</w:t>
      </w:r>
      <w:r>
        <w:tab/>
      </w:r>
      <w:r>
        <w:t>14 December 2021</w:t>
      </w:r>
    </w:p>
    <w:p>
      <w:pPr>
        <w:tabs>
          <w:tab w:pos="2600" w:val="left"/>
        </w:tabs>
        <w:ind w:left="2600" w:hanging="2600"/>
      </w:pPr>
      <w:r>
        <w:rPr>
          <w:b/>
          <w:bCs/>
        </w:rPr>
        <w:t>Last modified:</w:t>
      </w:r>
      <w:r>
        <w:tab/>
      </w:r>
      <w:r>
        <w:t>14 December 2021</w:t>
      </w:r>
    </w:p>
    <w:p>
      <w:pPr>
        <w:tabs>
          <w:tab w:pos="2600" w:val="left"/>
        </w:tabs>
        <w:ind w:left="2600" w:hanging="2600"/>
      </w:pPr>
      <w:r>
        <w:rPr>
          <w:b/>
          <w:bCs/>
        </w:rPr>
        <w:t>PRA number:</w:t>
      </w:r>
      <w:r>
        <w:tab/>
      </w:r>
      <w:r>
        <w:t>P000008323</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jc w:val="left"/>
      </w:pPr>
      <w:r>
        <w:t>Pests potentially requiring phytosanitary measures</w:t>
      </w:r>
    </w:p>
    <w:p>
      <w:pPr/>
      <w:r>
        <w:t>The following table lists the pests associated with the pathway but not recorded as present in the importing country/area, or as present but under official control. The full pest list is provided in Appendix 1. Details of modifications to CPC pest records are included in Appendix 2.</w:t>
      </w:r>
      <w:r>
        <w:br/>
      </w:r>
    </w:p>
    <w:p>
      <w:pPr/>
      <w:r>
        <w:t>The status and conclusion of individual pest risk assessments are also indicated. The results of any rapid assessments made during pest categorization are included in Appendix 3. This step may have concluded that a full risk assessment is not required for certain pests.</w:t>
      </w:r>
      <w:r>
        <w:br/>
      </w:r>
    </w:p>
    <w:p>
      <w:pPr/>
      <w:r>
        <w:t>Details of the full risk assessments for individual pests are provided in Appendix 4.</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4763"/>
        <w:gridCol w:w="655"/>
        <w:gridCol w:w="1846"/>
        <w:gridCol w:w="1929"/>
        <w:gridCol w:w="1786"/>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Source of pest record</w:t>
            </w:r>
          </w:p>
        </w:tc>
        <w:tc>
          <w:tcPr>
            <w:cnfStyle w:val="100000000000"/>
          </w:tcPr>
          <w:p>
            <w:pPr>
              <w:cnfStyle w:val="100000000000"/>
            </w:pPr>
            <w:r>
              <w:t>Risk assessment</w:t>
            </w:r>
          </w:p>
        </w:tc>
        <w:tc>
          <w:tcPr>
            <w:cnfStyle w:val="100000000000"/>
          </w:tcPr>
          <w:p>
            <w:pPr>
              <w:cnfStyle w:val="100000000000"/>
            </w:pPr>
            <w:r>
              <w:t>Pest requires phytosanitary measures?</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Aeolothrips collaris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Anomis mesogona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Asymmetrasca decedens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Dysaphis plantaginea (rosy apple aphid)</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Erthesina fullo (yellow-spotted stink bug)</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Frankliniella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Haptoncus luteolus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Malacosoma indicum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Ricania speculum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Thyas juno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Botrytis cinerea (damping-off)</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Colletotrichum fructicola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r>
              <w:t>2</w:t>
            </w:r>
          </w:p>
        </w:tc>
        <w:tc>
          <w:tcPr>
            <w:cnfStyle w:val="000000000000"/>
          </w:tcPr>
          <w:p>
            <w:pPr>
              <w:cnfStyle w:val="000000000000"/>
            </w:pPr>
            <w:r>
              <w:t>Appendix 2</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Geotrichum candidum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Phomopsis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Nematoda</w:t>
            </w:r>
          </w:p>
        </w:tc>
        <w:tc>
          <w:tcPr>
            <w:cnfStyle w:val="000000000000"/>
          </w:tcPr>
          <w:p>
            <w:pPr>
              <w:cnfStyle w:val="000000000000"/>
            </w:pPr>
            <w:r>
              <w:t xml:space="preserve">Xiphinema brevicollum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bl>
    <w:p>
      <w:pPr>
        <w:spacing w:before="200" w:after="200"/>
      </w:pPr>
      <w:r>
        <w:t xml:space="preserve">CABI (2021) Crop Protection Compendium. Wallingford, UK: CAB international. </w:t>
      </w:r>
      <w:hyperlink r:id="gemHypRid1">
        <w:r>
          <w:rPr>
            <w:rStyle w:val="Hyperlink"/>
          </w:rPr>
          <w:t>www.cabi.org/cpc</w:t>
        </w:r>
      </w:hyperlink>
    </w:p>
    <w:p>
      <w:pP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pStyle w:val="Heading2"/>
        <w:jc w:val="left"/>
      </w:pPr>
      <w:r>
        <w:rPr>
          <w:color w:val="368729"/>
        </w:rPr>
        <w:t>Risk Assessment Summary</w:t>
      </w:r>
    </w:p>
    <w:p>
      <w:pPr/>
      <w:r>
        <w:t>The following table lists the pests that have had a risk assessment which concluded that phytosanitary measures are required for this pathway. Appendix 4 provides the full details of individual pest risk assessments.</w:t>
      </w:r>
      <w:r>
        <w:br/>
      </w:r>
    </w:p>
    <w:p>
      <w:pPr>
        <w:pStyle w:val="Heading2"/>
        <w:jc w:val="left"/>
      </w:pPr>
      <w:r>
        <w:rPr>
          <w:color w:val="368729"/>
        </w:rPr>
        <w:t>Risk Management Summary</w:t>
      </w:r>
    </w:p>
    <w:p>
      <w:pPr/>
      <w:r>
        <w:t>Further details of individual risk management measures by pest are provided in Appendix 4.</w:t>
      </w:r>
      <w:r>
        <w:br/>
      </w:r>
    </w:p>
    <w:p>
      <w:pPr>
        <w:pStyle w:val="Heading2"/>
        <w:jc w:val="left"/>
      </w:pPr>
      <w:r>
        <w:rPr>
          <w:color w:val="368729"/>
        </w:rPr>
        <w:t>Pest Risk Analysis Summary</w:t>
      </w:r>
    </w:p>
    <w:p>
      <w:pPr/>
    </w:p>
    <w:p>
      <w:pPr>
        <w:pStyle w:val="Heading3"/>
        <w:jc w:val="left"/>
      </w:pPr>
      <w:r>
        <w:rPr>
          <w:color w:val="368729"/>
        </w:rPr>
        <w:t>Next Steps</w:t>
      </w:r>
    </w:p>
    <w:p>
      <w:pPr/>
    </w:p>
    <w:p>
      <w:pPr>
        <w:pStyle w:val="Heading3"/>
        <w:jc w:val="left"/>
      </w:pPr>
      <w:r>
        <w:rPr>
          <w:color w:val="368729"/>
        </w:rPr>
        <w:t>Contact Details</w:t>
      </w:r>
    </w:p>
    <w:p>
      <w:pPr/>
    </w:p>
    <w:p>
      <w:pPr>
        <w:pStyle w:val="Heading2"/>
        <w:jc w:val="left"/>
      </w:pPr>
      <w:r>
        <w:rPr>
          <w:color w:val="368729"/>
        </w:rPr>
        <w:t>References</w:t>
      </w:r>
    </w:p>
    <w:p>
      <w:pPr/>
      <w:r>
        <w:rPr>
          <w:rFonts w:ascii="arial" w:eastAsia="arial" w:hAnsi="arial" w:cs="arial"/>
          <w:sz w:val="22"/>
          <w:szCs w:val="22"/>
        </w:rPr>
        <w:t xml:space="preserve">CABI (2021) Crop Protection Compendium. Wallingford, UK: CAB international. </w:t>
      </w:r>
      <w:hyperlink r:id="gemHypRid2">
        <w:r>
          <w:rPr>
            <w:rFonts w:ascii="arial" w:eastAsia="arial" w:hAnsi="arial" w:cs="arial"/>
            <w:color w:val="0000EE"/>
            <w:sz w:val="22"/>
            <w:szCs w:val="22"/>
            <w:u w:color="0000EE" w:val="single"/>
          </w:rPr>
          <w:t>www.cabi.org/cpc</w:t>
        </w:r>
      </w:hyperlink>
    </w:p>
    <w:p>
      <w:pPr/>
    </w:p>
    <w:p>
      <w:pPr/>
    </w:p>
    <w:p>
      <w:pPr>
        <w:pStyle w:val="Heading2"/>
        <w:jc w:val="left"/>
      </w:pPr>
      <w:r>
        <w:rPr>
          <w:color w:val="368729"/>
        </w:rPr>
        <w:t>Appendix 1. Full Pest List</w:t>
      </w:r>
    </w:p>
    <w:p>
      <w:pPr/>
      <w:r>
        <w:br/>
      </w:r>
      <w:r>
        <w:t xml:space="preserve">This pest list was initially generated from CABI Crop Protection Compendium data on: (14/12/2021). Details of added pests and user modifications to CPC pest records are included in Appendix 2. </w:t>
      </w:r>
    </w:p>
    <w:p>
      <w:pPr/>
      <w:r>
        <w:br/>
      </w:r>
      <w:r>
        <w:t>The pests are recorded from the selected crop and the country/area of origin. Where the commodity type is shown as ‘?’, there is no information on this aspect in the CPC.</w:t>
      </w:r>
    </w:p>
    <w:p>
      <w:pPr/>
      <w:r>
        <w:br/>
      </w:r>
      <w:r>
        <w:t>Only those pests that are absent from the importing country/area or are present but under official control are included in the risk assessment.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131"/>
        <w:gridCol w:w="4763"/>
        <w:gridCol w:w="893"/>
        <w:gridCol w:w="833"/>
        <w:gridCol w:w="1429"/>
        <w:gridCol w:w="1429"/>
        <w:gridCol w:w="202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Species</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Source of pest record</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Aeolothrips collaris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Agrotis ipsilon (black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Aonidiella citrina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 (oriental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Aphis gossypii (cotton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 (Spirea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 (blunt-winged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Araecerus fasciculatus (cocoa weevil)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 (coconut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Asymmetrasca decedens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 (pepper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 (melon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 (tobacco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 (leaf-curling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 (false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 (brown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 (flower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 (soft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 (castor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 (pear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 (San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Dysaphis plantaginea (rosy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Erthesina fullo (yellow-spotted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Eudocima fullonia (fruit-piercing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 (Citrus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 (western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 (cotton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 (gold-tipped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Haptoncus luteolus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Hyalopterus pruni (mealy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 (Seychelles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Malacosoma indicum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Myzus persicae (green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 (green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Panonychus citri (citrus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 (European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 (European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 (peach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 (mulberry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 (long-tailed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Rhopalosiphum nymphaeae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Ricania speculum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Saissetia coffeae (hemispherical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 (chilli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Sitophilus zeamais (greater grain weevil)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 (fall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 (kanzawa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urticae (two-spotted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Thrips tabaci (onion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Thyas juno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Urophorus humeralis (pineapple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Alternaria alternata (alternaria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fumigatus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 (canker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 (Botryosphaeria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 (grey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Botrytis cinerea (damping-off)</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 (Ceratocystis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 (black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fructicola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 (soyabean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 (apple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Appendix 2</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Diplodia seriata (grapevine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Fusarium proliferatum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Fusarium proliferatum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Geotrichum candidum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Glomerella cingulata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 (diplodia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 (charcoal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 (brown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 (brown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 (blossom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Neofusicoccum mangiferae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Penicillium expansum (blue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glomerata (blight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Phomopsis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 (powdery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 (cottony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Sphaeropsis sapinea (Sphaeropsis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Taphrina deformans (peach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Valsa ceratosperma (dieback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Verticillium dahliae (verticillium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 (sclerotium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Chondrostereum purpureum (silver blight of stone fruit trees)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 (rust: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r>
              <w:t>Appendix 2</w:t>
            </w: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 (clover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 (strawberry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 (longidorids)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Meloidogyne (root knot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 (stubby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Xiphinema brevicollum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Oomycota</w:t>
            </w:r>
          </w:p>
        </w:tc>
        <w:tc>
          <w:tcPr>
            <w:cnfStyle w:val="000000000000"/>
          </w:tcPr>
          <w:p>
            <w:pPr>
              <w:cnfStyle w:val="000000000000"/>
            </w:pPr>
            <w:r>
              <w:t>Phytophthora cactorum (apple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 (Phytophthora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citrophthora (brown rot of citrus fruit)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 (fruitlet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 (bacterial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 (pink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 (lettuce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morsprunorum (bacterial canker of stone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 (bacterial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 (gall)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 (bacterial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Amaranthus viridis (slender amaranth)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 (wandering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Spermatophyta</w:t>
            </w:r>
          </w:p>
        </w:tc>
        <w:tc>
          <w:tcPr>
            <w:cnfStyle w:val="000000000000"/>
          </w:tcPr>
          <w:p>
            <w:pPr>
              <w:cnfStyle w:val="000000000000"/>
            </w:pPr>
            <w:r>
              <w:t>Euphorbia hirta (garden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 (common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Olea europaea subsp. cuspidata (wild olive)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 (prostrate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 (common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 (apricot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 (hop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 (cherry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 (hop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Little cherry virus 1 (little cherry )</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 (almond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stolonifer (bulb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bl>
    <w:p>
      <w:pPr>
        <w:spacing w:before="200" w:after="200"/>
      </w:pPr>
      <w:r>
        <w:t xml:space="preserve">CABI (2021) Crop Protection Compendium. Wallingford, UK: CAB international. </w:t>
      </w:r>
      <w:hyperlink r:id="gemHypRid1">
        <w:r>
          <w:rPr>
            <w:rStyle w:val="Hyperlink"/>
          </w:rPr>
          <w:t>www.cabi.org/cpc</w:t>
        </w:r>
      </w:hyperlink>
    </w:p>
    <w:p>
      <w:pPr/>
    </w:p>
    <w:p>
      <w:pPr>
        <w:pStyle w:val="Heading2"/>
        <w:jc w:val="left"/>
      </w:pPr>
      <w:r>
        <w:rPr>
          <w:color w:val="368729"/>
        </w:rPr>
        <w:t>Appendix 2. Modified Pest Records</w:t>
      </w:r>
    </w:p>
    <w:p>
      <w:pPr/>
      <w:r>
        <w:t>Details of user modifications to CPC data used to generate the pest list.</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167"/>
        <w:gridCol w:w="3572"/>
        <w:gridCol w:w="4167"/>
      </w:tblGrid>
      <w:tr>
        <w:trPr>
          <w:cnfStyle w:val="100000000000"/>
        </w:trPr>
        <w:tc>
          <w:tcPr>
            <w:cnfStyle w:val="100000000000"/>
          </w:tcPr>
          <w:p>
            <w:pPr>
              <w:cnfStyle w:val="100000000000"/>
            </w:pPr>
            <w:r>
              <w:t>Species</w:t>
            </w:r>
          </w:p>
        </w:tc>
        <w:tc>
          <w:tcPr>
            <w:cnfStyle w:val="100000000000"/>
          </w:tcPr>
          <w:p>
            <w:pPr>
              <w:cnfStyle w:val="100000000000"/>
            </w:pPr>
            <w:r>
              <w:t>Modification</w:t>
            </w:r>
          </w:p>
        </w:tc>
        <w:tc>
          <w:tcPr>
            <w:cnfStyle w:val="100000000000"/>
          </w:tcPr>
          <w:p>
            <w:pPr>
              <w:cnfStyle w:val="100000000000"/>
            </w:pPr>
            <w:r>
              <w:t>Notes and references</w:t>
            </w:r>
          </w:p>
        </w:tc>
      </w:tr>
      <w:tr>
        <w:trPr>
          <w:cnfStyle w:val="000000000000"/>
        </w:trPr>
        <w:tc>
          <w:tcPr>
            <w:cnfStyle w:val="000000000000"/>
          </w:tcPr>
          <w:p>
            <w:pPr>
              <w:cnfStyle w:val="000000000000"/>
            </w:pPr>
            <w:r>
              <w:rPr>
                <w:b/>
                <w:bCs/>
                <w:sz w:val="22"/>
                <w:szCs w:val="22"/>
              </w:rPr>
              <w:t>Modified pest records, excluded from the assessment</w:t>
            </w:r>
          </w:p>
        </w:tc>
        <w:tc>
          <w:tcPr>
            <w:cnfStyle w:val="000000000000"/>
          </w:tcPr>
          <w:p>
            <w:pPr>
              <w:cnfStyle w:val="000000000000"/>
            </w:pPr>
          </w:p>
        </w:tc>
        <w:tc>
          <w:tcPr>
            <w:cnfStyle w:val="000000000000"/>
          </w:tcPr>
          <w:p>
            <w:pPr>
              <w:cnfStyle w:val="000000000000"/>
            </w:pPr>
          </w:p>
        </w:tc>
      </w:tr>
      <w:tr>
        <w:trPr>
          <w:cnfStyle w:val="000000000000"/>
        </w:trPr>
        <w:tc>
          <w:tcPr>
            <w:cnfStyle w:val="000000000000"/>
          </w:tcPr>
          <w:p>
            <w:pPr>
              <w:cnfStyle w:val="000000000000"/>
            </w:pPr>
            <w:r>
              <w:t>Candidatus Phytoplasma asteris (yellow disease phytoplasmas)</w:t>
            </w:r>
          </w:p>
        </w:tc>
        <w:tc>
          <w:tcPr>
            <w:cnfStyle w:val="000000000000"/>
          </w:tcPr>
          <w:p>
            <w:pPr>
              <w:cnfStyle w:val="000000000000"/>
            </w:pPr>
            <w:r>
              <w:t>Absent in country/area of origin</w:t>
            </w:r>
          </w:p>
        </w:tc>
        <w:tc>
          <w:tcPr>
            <w:cnfStyle w:val="000000000000"/>
          </w:tcPr>
          <w:p>
            <w:pPr>
              <w:cnfStyle w:val="000000000000"/>
            </w:pPr>
            <w:r>
              <w:t>Absent in country</w:t>
            </w:r>
          </w:p>
        </w:tc>
      </w:tr>
    </w:tbl>
    <w:p>
      <w:pPr/>
    </w:p>
    <w:p>
      <w:pPr/>
    </w:p>
    <w:p>
      <w:pPr>
        <w:pStyle w:val="Heading2"/>
        <w:jc w:val="left"/>
      </w:pPr>
      <w:r>
        <w:rPr>
          <w:color w:val="368729"/>
        </w:rPr>
        <w:t>Appendix 3. Results of Rapid Assessment (Pest Categorization)</w:t>
      </w:r>
    </w:p>
    <w:p>
      <w:pPr/>
      <w:r>
        <w:t>No rapid assessments exist for this PRA</w:t>
      </w:r>
    </w:p>
    <w:p>
      <w:pPr/>
    </w:p>
    <w:p>
      <w:pPr>
        <w:pStyle w:val="Heading2"/>
        <w:jc w:val="left"/>
      </w:pPr>
      <w:r>
        <w:rPr>
          <w:color w:val="368729"/>
        </w:rPr>
        <w:t>Appendix 4. Individual Pest PRAs</w:t>
      </w:r>
    </w:p>
    <w:p>
      <w:pPr>
        <w:sectPr>
          <w:footerReference w:type="default" r:id="gemHfRid2"/>
          <w:type w:val="continuous"/>
          <w:pgSz w:w="11907" w:h="16839" w:code="9"/>
          <w:pgMar w:top="1361" w:right="983" w:bottom="1361" w:left="983" w:header="708" w:footer="708" w:gutter="0"/>
          <w:cols w:space="708"/>
          <w:docGrid w:linePitch="360"/>
        </w:sectPr>
      </w:pPr>
      <w:r>
        <w:t>This appendix provides the full details of the risk assessment and risk management sections that have been completed for each pest associated with this pathway. This may mean that question numbers are not consecutive, they have been included because they relate to the risk assessment template of the PRA Tool.</w:t>
      </w:r>
      <w:r>
        <w:br/>
      </w:r>
    </w:p>
    <w:p>
      <w:pPr/>
      <w:r>
        <w:br/>
      </w:r>
      <w:r>
        <w:br/>
      </w:r>
      <w:r>
        <w:t xml:space="preserve">This report was generated using the CABI PRA tool </w:t>
      </w:r>
      <w:hyperlink r:id="gemHypRid3">
        <w:r>
          <w:rPr>
            <w:rStyle w:val="Hyperlink"/>
          </w:rPr>
          <w:t>https://www.cabi.org/PRA-Tool/</w:t>
        </w:r>
      </w:hyperlink>
    </w:p>
    <w:sectPr>
      <w:footerReference w:type="default" r:id="gemHfRid4"/>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jc w:val="right"/>
    </w:pPr>
    <w:r>
      <w:fldChar w:fldCharType="begin"/>
    </w:r>
    <w:r>
      <w:instrText xml:space="preserve">PAGE </w:instrText>
    </w:r>
    <w:r>
      <w:fldChar w:fldCharType="end"/>
    </w:r>
    <w:r>
      <w:t xml:space="preserve"> of </w:t>
    </w:r>
    <w:r>
      <w:fldChar w:fldCharType="begin"/>
    </w:r>
    <w:r>
      <w:instrText xml:space="preserve">NUMPAGES </w:instrTex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2"/>
      <w:szCs w:val="22"/>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cpc" TargetMode="External" /><Relationship Id="gemHypRid2" Type="http://schemas.openxmlformats.org/officeDocument/2006/relationships/hyperlink" Target="http://www.cabi.org/cpc" TargetMode="External" /><Relationship Id="gemHfRid2" Type="http://schemas.openxmlformats.org/officeDocument/2006/relationships/footer" Target="footer1.xml" /><Relationship Id="gemHypRid3" Type="http://schemas.openxmlformats.org/officeDocument/2006/relationships/hyperlink" Target="https://www.cabi.org/PRA-Tool/" TargetMode="External" /><Relationship Id="gemHfRid4" Type="http://schemas.openxmlformats.org/officeDocument/2006/relationships/footer" Target="footer2.xm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