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CASE — FINANCIAL / CORPORATE DUE DILIGENCE</w:t>
      </w:r>
    </w:p>
    <w:p>
      <w:pPr>
        <w:spacing w:before="0" w:after="80" w:line="245" w:lineRule="auto"/>
      </w:pPr>
      <w:r>
        <w:rPr>
          <w:rFonts w:ascii="Arial" w:hAnsi="Arial" w:cs="Arial" w:eastAsia="Arial"/>
          <w:b/>
          <w:i w:val="0"/>
          <w:color w:val="1B2733"/>
          <w:sz w:val="54"/>
        </w:rPr>
        <w:t>Matsumoto Precision Co., Ltd. — マツモトプレシジョン株式会社</w:t>
      </w:r>
    </w:p>
    <w:p>
      <w:pPr>
        <w:spacing w:before="0" w:after="160" w:line="254" w:lineRule="auto"/>
      </w:pPr>
      <w:r>
        <w:rPr>
          <w:rFonts w:ascii="Arial" w:hAnsi="Arial" w:cs="Arial" w:eastAsia="Arial"/>
          <w:b w:val="0"/>
          <w:i w:val="0"/>
          <w:color w:val="1F4E79"/>
          <w:sz w:val="34"/>
        </w:rPr>
        <w:t>Ownership, financial footprint, succession risk and the limits of the public record</w:t>
      </w:r>
    </w:p>
    <w:p>
      <w:pPr>
        <w:spacing w:before="0" w:after="320" w:line="264" w:lineRule="auto"/>
      </w:pPr>
      <w:r>
        <w:rPr>
          <w:rFonts w:ascii="Arial" w:hAnsi="Arial" w:cs="Arial" w:eastAsia="Arial"/>
          <w:b w:val="0"/>
          <w:i w:val="0"/>
          <w:color w:val="555F6B"/>
          <w:sz w:val="22"/>
        </w:rPr>
        <w:t>Kitakata, Fukushima Prefecture,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Assessment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Primary jurisdiction</w:t>
            </w:r>
          </w:p>
        </w:tc>
        <w:tc>
          <w:tcPr>
            <w:tcW w:type="dxa" w:w="7066"/>
          </w:tcPr>
          <w:p>
            <w:pPr>
              <w:spacing w:before="60" w:after="60" w:line="288" w:lineRule="auto"/>
            </w:pPr>
            <w:r>
              <w:rPr>
                <w:rFonts w:ascii="Arial" w:hAnsi="Arial" w:cs="Arial" w:eastAsia="Arial"/>
                <w:color w:val="1B2733"/>
                <w:sz w:val="18"/>
              </w:rPr>
              <w:t>Japan</w:t>
            </w:r>
          </w:p>
        </w:tc>
      </w:tr>
      <w:tr>
        <w:tc>
          <w:tcPr>
            <w:tcW w:type="dxa" w:w="2232"/>
            <w:shd w:val="clear" w:color="auto" w:fill="EEF3F8"/>
          </w:tcPr>
          <w:p>
            <w:pPr>
              <w:spacing w:before="60" w:after="60"/>
            </w:pPr>
            <w:r>
              <w:rPr>
                <w:rFonts w:ascii="Arial" w:hAnsi="Arial" w:cs="Arial" w:eastAsia="Arial"/>
                <w:b/>
                <w:color w:val="1F4E79"/>
                <w:sz w:val="17"/>
              </w:rPr>
              <w:t>Corporate number</w:t>
            </w:r>
          </w:p>
        </w:tc>
        <w:tc>
          <w:tcPr>
            <w:tcW w:type="dxa" w:w="7066"/>
          </w:tcPr>
          <w:p>
            <w:pPr>
              <w:spacing w:before="60" w:after="60" w:line="288" w:lineRule="auto"/>
            </w:pPr>
            <w:r>
              <w:rPr>
                <w:rFonts w:ascii="Arial" w:hAnsi="Arial" w:cs="Arial" w:eastAsia="Arial"/>
                <w:color w:val="1B2733"/>
                <w:sz w:val="18"/>
              </w:rPr>
              <w:t>3010901011389</w:t>
            </w:r>
          </w:p>
        </w:tc>
      </w:tr>
      <w:tr>
        <w:tc>
          <w:tcPr>
            <w:tcW w:type="dxa" w:w="2232"/>
            <w:shd w:val="clear" w:color="auto" w:fill="EEF3F8"/>
          </w:tcPr>
          <w:p>
            <w:pPr>
              <w:spacing w:before="60" w:after="60"/>
            </w:pPr>
            <w:r>
              <w:rPr>
                <w:rFonts w:ascii="Arial" w:hAnsi="Arial" w:cs="Arial" w:eastAsia="Arial"/>
                <w:b/>
                <w:color w:val="1F4E79"/>
                <w:sz w:val="17"/>
              </w:rPr>
              <w:t>Headquarters</w:t>
            </w:r>
          </w:p>
        </w:tc>
        <w:tc>
          <w:tcPr>
            <w:tcW w:type="dxa" w:w="7066"/>
          </w:tcPr>
          <w:p>
            <w:pPr>
              <w:spacing w:before="60" w:after="60" w:line="288" w:lineRule="auto"/>
            </w:pPr>
            <w:r>
              <w:rPr>
                <w:rFonts w:ascii="Arial" w:hAnsi="Arial" w:cs="Arial" w:eastAsia="Arial"/>
                <w:color w:val="1B2733"/>
                <w:sz w:val="18"/>
              </w:rPr>
              <w:t>Kitakata, Fukushima Prefecture, Japan</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Public Japanese sources (gBizINFO, corporate disclosure, trade press, public registers)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Can the financial and operational condition of Matsumoto Precision be assessed from publicly available Japanese sources, and what evidence exists for its capacity to sustain and expand manufacturing operations?</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Research question Can the financial and operational condition of Matsumoto Precision be assessed from publicly available Japanese sources, and what evidence exists for its capacity to sustain and expand manufacturing operations? Assessment date: September 2026 Primary jurisdiction: Japan Company:マツモトプレシジョン株式会社/ Matsumoto Precision Co., Ltd. Headquarters: Kitakata, Fukushima Prefecture, Japan Corporate number: 3010901011389</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Matsumoto Precision is a privately held Japanese precision-machining manufacturer headquartered in Kitakata, Fukushima. The company was established in 1948 and currently reports capital of ¥70 million and 157 employees as of June 1, 2026 . Its core activity is integrated precision machining, including cutting, grinding and heat treatment. The company operates a production model in which material procurement, machining, heat treatment, grinding and assembly can be performed within an integrated manufacturing system. Matsumoto Precision The public record does not provide sufficient information to reconstruct a conventional financial statement analysis. Matsumoto Precision is not a listed company and does not publish the level of income-statement, balance-sheet and cash-flow information normally available from a listed issuer. Consequently, current profitability, leverage, liquidity, debt service capacity, cash reserves and exact ownership percentages cannot be established from the reviewed public sources . There is nevertheless substantial indirect evidence concerning the company's operational condition. The strongest evidence is:</w:t>
      </w:r>
    </w:p>
    <w:p>
      <w:pPr>
        <w:pStyle w:val="ListBullet"/>
        <w:spacing w:before="0" w:after="60" w:line="293" w:lineRule="auto"/>
        <w:ind w:left="351" w:hanging="193"/>
      </w:pPr>
      <w:r>
        <w:rPr>
          <w:rFonts w:ascii="Arial" w:hAnsi="Arial" w:cs="Arial" w:eastAsia="Arial"/>
          <w:color w:val="1B2733"/>
          <w:sz w:val="19"/>
        </w:rPr>
        <w:t>continued operation and expansion of the Japanese manufacturing base;</w:t>
      </w:r>
    </w:p>
    <w:p>
      <w:pPr>
        <w:pStyle w:val="ListBullet"/>
        <w:spacing w:before="0" w:after="60" w:line="293" w:lineRule="auto"/>
        <w:ind w:left="351" w:hanging="193"/>
      </w:pPr>
      <w:r>
        <w:rPr>
          <w:rFonts w:ascii="Arial" w:hAnsi="Arial" w:cs="Arial" w:eastAsia="Arial"/>
          <w:color w:val="1B2733"/>
          <w:sz w:val="19"/>
        </w:rPr>
        <w:t>an increase in reported employees from approximately 143 in the 2025 SME White Paper case study to 157 in June 2026;</w:t>
      </w:r>
    </w:p>
    <w:p>
      <w:pPr>
        <w:pStyle w:val="ListBullet"/>
        <w:spacing w:before="0" w:after="60" w:line="293" w:lineRule="auto"/>
        <w:ind w:left="351" w:hanging="193"/>
      </w:pPr>
      <w:r>
        <w:rPr>
          <w:rFonts w:ascii="Arial" w:hAnsi="Arial" w:cs="Arial" w:eastAsia="Arial"/>
          <w:color w:val="1B2733"/>
          <w:sz w:val="19"/>
        </w:rPr>
        <w:t>a Vietnamese manufacturing subsidiary established in 2022;</w:t>
      </w:r>
    </w:p>
    <w:p>
      <w:pPr>
        <w:pStyle w:val="ListBullet"/>
        <w:spacing w:before="0" w:after="60" w:line="293" w:lineRule="auto"/>
        <w:ind w:left="351" w:hanging="193"/>
      </w:pPr>
      <w:r>
        <w:rPr>
          <w:rFonts w:ascii="Arial" w:hAnsi="Arial" w:cs="Arial" w:eastAsia="Arial"/>
          <w:color w:val="1B2733"/>
          <w:sz w:val="19"/>
        </w:rPr>
        <w:t>a reported ¥500 million planned Vietnam investment ;</w:t>
      </w:r>
    </w:p>
    <w:p>
      <w:pPr>
        <w:pStyle w:val="ListBullet"/>
        <w:spacing w:before="0" w:after="60" w:line="293" w:lineRule="auto"/>
        <w:ind w:left="351" w:hanging="193"/>
      </w:pPr>
      <w:r>
        <w:rPr>
          <w:rFonts w:ascii="Arial" w:hAnsi="Arial" w:cs="Arial" w:eastAsia="Arial"/>
          <w:color w:val="1B2733"/>
          <w:sz w:val="19"/>
        </w:rPr>
        <w:t>continued capital and production investment;</w:t>
      </w:r>
    </w:p>
    <w:p>
      <w:pPr>
        <w:pStyle w:val="ListBullet"/>
        <w:spacing w:before="0" w:after="60" w:line="293" w:lineRule="auto"/>
        <w:ind w:left="351" w:hanging="193"/>
      </w:pPr>
      <w:r>
        <w:rPr>
          <w:rFonts w:ascii="Arial" w:hAnsi="Arial" w:cs="Arial" w:eastAsia="Arial"/>
          <w:color w:val="1B2733"/>
          <w:sz w:val="19"/>
        </w:rPr>
        <w:t>implementation of ERP/DX and product-level cost visibility;</w:t>
      </w:r>
    </w:p>
    <w:p>
      <w:pPr>
        <w:pStyle w:val="ListBullet"/>
        <w:spacing w:before="0" w:after="60" w:line="293" w:lineRule="auto"/>
        <w:ind w:left="351" w:hanging="193"/>
      </w:pPr>
      <w:r>
        <w:rPr>
          <w:rFonts w:ascii="Arial" w:hAnsi="Arial" w:cs="Arial" w:eastAsia="Arial"/>
          <w:color w:val="1B2733"/>
          <w:sz w:val="19"/>
        </w:rPr>
        <w:t>reported substantial reductions in inspection time and product complexity;</w:t>
      </w:r>
    </w:p>
    <w:p>
      <w:pPr>
        <w:pStyle w:val="ListBullet"/>
        <w:spacing w:before="0" w:after="60" w:line="293" w:lineRule="auto"/>
        <w:ind w:left="351" w:hanging="193"/>
      </w:pPr>
      <w:r>
        <w:rPr>
          <w:rFonts w:ascii="Arial" w:hAnsi="Arial" w:cs="Arial" w:eastAsia="Arial"/>
          <w:color w:val="1B2733"/>
          <w:sz w:val="19"/>
        </w:rPr>
        <w:t>GX investment and product-level carbon-footprint accounting;</w:t>
      </w:r>
    </w:p>
    <w:p>
      <w:pPr>
        <w:pStyle w:val="ListBullet"/>
        <w:spacing w:before="0" w:after="60" w:line="293" w:lineRule="auto"/>
        <w:ind w:left="351" w:hanging="193"/>
      </w:pPr>
      <w:r>
        <w:rPr>
          <w:rFonts w:ascii="Arial" w:hAnsi="Arial" w:cs="Arial" w:eastAsia="Arial"/>
          <w:color w:val="1B2733"/>
          <w:sz w:val="19"/>
        </w:rPr>
        <w:t>external recognition through the Tohoku DX Award, IT Japan Award and SAP Innovation Awards;</w:t>
      </w:r>
    </w:p>
    <w:p>
      <w:pPr>
        <w:pStyle w:val="ListBullet"/>
        <w:spacing w:before="0" w:after="60" w:line="293" w:lineRule="auto"/>
        <w:ind w:left="351" w:hanging="193"/>
      </w:pPr>
      <w:r>
        <w:rPr>
          <w:rFonts w:ascii="Arial" w:hAnsi="Arial" w:cs="Arial" w:eastAsia="Arial"/>
          <w:color w:val="1B2733"/>
          <w:sz w:val="19"/>
        </w:rPr>
        <w:t>continued development of a new 2026-2030 management plan. At the same time, the evidence contains material limitations. The company experienced a flood and fire in 2022 , although public sources do not disclose the resulting financial loss, insurance recovery or production downtime. The Vietnam expansion was announced at ¥500 million, but the reviewed public sources do not establish</w:t>
      </w:r>
    </w:p>
    <w:p>
      <w:pPr>
        <w:spacing w:before="0" w:after="120" w:line="307" w:lineRule="auto"/>
      </w:pPr>
      <w:r>
        <w:rPr>
          <w:rFonts w:ascii="Arial" w:hAnsi="Arial" w:cs="Arial" w:eastAsia="Arial"/>
          <w:b w:val="0"/>
          <w:i w:val="0"/>
          <w:color w:val="1B2733"/>
          <w:sz w:val="19"/>
        </w:rPr>
        <w:t>how much of the planned investment was actually spent or whether the originally contemplated second-stage factory expansion was completed. The Vietnamese operation also appears highly dependent on its Japanese parent as a customer. These are not proof of financial weakness, but they are relevant DD issues. Overall conclusion: public sources provide moderately strong evidence of continuing operational capability and active investment , but only weak-to-moderate evidence regarding actual financial condition . The available evidence supports the statement that Matsumoto Precision has maintained and expanded manufacturing activity; it does not support a definitive conclusion about solvency, profitability or financial strength.</w:t>
      </w:r>
    </w:p>
    <w:p>
      <w:pPr>
        <w:pStyle w:val="Heading1"/>
        <w:keepNext/>
        <w:spacing w:before="280" w:after="60" w:line="252" w:lineRule="auto"/>
        <w:pBdr>
          <w:bottom w:val="single" w:sz="12" w:space="4" w:color="1F4E79"/>
        </w:pBdr>
      </w:pPr>
      <w:r>
        <w:rPr>
          <w:rFonts w:ascii="Arial" w:hAnsi="Arial" w:cs="Arial" w:eastAsia="Arial"/>
          <w:b/>
          <w:color w:val="1F4E79"/>
          <w:sz w:val="30"/>
        </w:rPr>
        <w:t>1. Corporate Identity and Legal Structure</w:t>
      </w:r>
    </w:p>
    <w:p>
      <w:pPr>
        <w:pStyle w:val="Heading1"/>
        <w:keepNext/>
        <w:spacing w:before="280" w:after="60" w:line="252" w:lineRule="auto"/>
        <w:pBdr>
          <w:bottom w:val="single" w:sz="12" w:space="4" w:color="1F4E79"/>
        </w:pBdr>
      </w:pPr>
      <w:r>
        <w:rPr>
          <w:rFonts w:ascii="Arial" w:hAnsi="Arial" w:cs="Arial" w:eastAsia="Arial"/>
          <w:b/>
          <w:color w:val="1F4E79"/>
          <w:sz w:val="30"/>
        </w:rPr>
        <w:t>1.1 Legal entity</w:t>
      </w:r>
    </w:p>
    <w:p>
      <w:pPr>
        <w:spacing w:before="0" w:after="120" w:line="307" w:lineRule="auto"/>
      </w:pPr>
      <w:r>
        <w:rPr>
          <w:rFonts w:ascii="Arial" w:hAnsi="Arial" w:cs="Arial" w:eastAsia="Arial"/>
          <w:b w:val="0"/>
          <w:i w:val="0"/>
          <w:color w:val="1B2733"/>
          <w:sz w:val="19"/>
        </w:rPr>
        <w:t>The company is:マツモトプレシジョン株式会社Matsumoto Precision Co., Ltd. Corporate number: 3010901011389 The Japanese government’s gBizINFO database identifies the legal entity and its headquarters at: 68 Omi, Kofune, Shiokawa-machi, Kitakata, Fukushima Prefecture, 969-3532. Gビズインフォ( METI )経済産業省The company itself states that it was established on June 1, 1948 . Matsumoto Precision The company previously operated under the name松本機械工業株式会社/ Matsumoto Kikai Kogyo Co., Ltd. It changed its corporate name to Matsumoto Precision in June 2017. Matsumoto Precision Corporate status The company is privately held rather than publicly listed. This has an important consequence for financial DD: unlike a listed Japanese company, it does not provide the market with a comprehensive standardized set of audited annual financial statements.</w:t>
      </w:r>
    </w:p>
    <w:p>
      <w:pPr>
        <w:pStyle w:val="Heading1"/>
        <w:keepNext/>
        <w:spacing w:before="280" w:after="60" w:line="252" w:lineRule="auto"/>
        <w:pBdr>
          <w:bottom w:val="single" w:sz="12" w:space="4" w:color="1F4E79"/>
        </w:pBdr>
      </w:pPr>
      <w:r>
        <w:rPr>
          <w:rFonts w:ascii="Arial" w:hAnsi="Arial" w:cs="Arial" w:eastAsia="Arial"/>
          <w:b/>
          <w:color w:val="1F4E79"/>
          <w:sz w:val="30"/>
        </w:rPr>
        <w:t>2. Capital and Human Resources</w:t>
      </w:r>
    </w:p>
    <w:p>
      <w:pPr>
        <w:spacing w:before="0" w:after="120" w:line="307" w:lineRule="auto"/>
      </w:pPr>
      <w:r>
        <w:rPr>
          <w:rFonts w:ascii="Arial" w:hAnsi="Arial" w:cs="Arial" w:eastAsia="Arial"/>
          <w:b w:val="0"/>
          <w:i w:val="0"/>
          <w:color w:val="1B2733"/>
          <w:sz w:val="19"/>
        </w:rPr>
        <w:t>The current corporate profile reports: Indicator Publicly available figure Established 1948 Capital ¥70 million Employees 157 Headquarters Kitakata, Fukushima Main business Precision machinery components ISO 9001 Yes ISO 14001 Yes The employee figure is specifically dated June 1, 2026 . Matsumoto Precision This differs from the 143 employees reported in the Japanese government's 2025 SME White Paper case study. The difference is not evidence of an accounting inconsistency; it is consistent with different observation dates. The 2025 White Paper describes the company using 143 employees, while the company's current profile reports 157. Japan's Ministry of Economy, Trade and Industry (METI) This provides at least some evidence that the domestic workforce has not contracted dramatically during the period covered by the research.</w:t>
      </w:r>
    </w:p>
    <w:p>
      <w:pPr>
        <w:pStyle w:val="Heading1"/>
        <w:keepNext/>
        <w:spacing w:before="280" w:after="60" w:line="252" w:lineRule="auto"/>
        <w:pBdr>
          <w:bottom w:val="single" w:sz="12" w:space="4" w:color="1F4E79"/>
        </w:pBdr>
      </w:pPr>
      <w:r>
        <w:rPr>
          <w:rFonts w:ascii="Arial" w:hAnsi="Arial" w:cs="Arial" w:eastAsia="Arial"/>
          <w:b/>
          <w:color w:val="1F4E79"/>
          <w:sz w:val="30"/>
        </w:rPr>
        <w:t>3. Management and Succession</w:t>
      </w:r>
    </w:p>
    <w:p>
      <w:pPr>
        <w:pStyle w:val="Heading1"/>
        <w:keepNext/>
        <w:spacing w:before="280" w:after="60" w:line="252" w:lineRule="auto"/>
        <w:pBdr>
          <w:bottom w:val="single" w:sz="12" w:space="4" w:color="1F4E79"/>
        </w:pBdr>
      </w:pPr>
      <w:r>
        <w:rPr>
          <w:rFonts w:ascii="Arial" w:hAnsi="Arial" w:cs="Arial" w:eastAsia="Arial"/>
          <w:b/>
          <w:color w:val="1F4E79"/>
          <w:sz w:val="30"/>
        </w:rPr>
        <w:t>3.1 Current management</w:t>
      </w:r>
    </w:p>
    <w:p>
      <w:pPr>
        <w:spacing w:before="0" w:after="120" w:line="307" w:lineRule="auto"/>
      </w:pPr>
      <w:r>
        <w:rPr>
          <w:rFonts w:ascii="Arial" w:hAnsi="Arial" w:cs="Arial" w:eastAsia="Arial"/>
          <w:b w:val="0"/>
          <w:i w:val="0"/>
          <w:color w:val="1B2733"/>
          <w:sz w:val="19"/>
        </w:rPr>
        <w:t>The current management structure is: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Honorary Chairman:松本榮二/ Eiji Matsumoto</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Representative Director / President:松本敏忠/ Toshitada Matsumoto</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Director:吉井憲一/ Kenichi Yoshii</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Corporate Auditor / CPA:筒井啓介/ Keisuke Tsutsui The company explicitly identifies Toshitada Matsumoto's former surname as Numabe . Matsumoto Precision</w:t>
      </w:r>
    </w:p>
    <w:p>
      <w:pPr>
        <w:pStyle w:val="Heading1"/>
        <w:keepNext/>
        <w:spacing w:before="280" w:after="60" w:line="252" w:lineRule="auto"/>
        <w:pBdr>
          <w:bottom w:val="single" w:sz="12" w:space="4" w:color="1F4E79"/>
        </w:pBdr>
      </w:pPr>
      <w:r>
        <w:rPr>
          <w:rFonts w:ascii="Arial" w:hAnsi="Arial" w:cs="Arial" w:eastAsia="Arial"/>
          <w:b/>
          <w:color w:val="1F4E79"/>
          <w:sz w:val="30"/>
        </w:rPr>
        <w:t>3.2 Succession</w:t>
      </w:r>
    </w:p>
    <w:p>
      <w:pPr>
        <w:spacing w:before="0" w:after="120" w:line="307" w:lineRule="auto"/>
      </w:pPr>
      <w:r>
        <w:rPr>
          <w:rFonts w:ascii="Arial" w:hAnsi="Arial" w:cs="Arial" w:eastAsia="Arial"/>
          <w:b w:val="0"/>
          <w:i w:val="0"/>
          <w:color w:val="1B2733"/>
          <w:sz w:val="19"/>
        </w:rPr>
        <w:t>The succession is an important element of the company's corporate structure. The Ministry of Economy, Trade and Industry / SME Agency's case study states that Toshitada Matsumoto joined the company in 2014 as the son-in-law of the founding Matsumoto family and became fourth-generation president in 2017 . Japan's Ministry of Economy, Trade and Industry (METI) The company's own historical record confirms the 2017 transition: Eiji Matsumoto became chairman and Toshitada Matsumoto became president. The same year the corporate name changed from Matsumoto Kikai Kogyo to Matsumoto Precision. Matsumoto Precision This is significant because the succession coincided with a broader strategic transformation rather than being merely a change of title.</w:t>
      </w:r>
    </w:p>
    <w:p>
      <w:pPr>
        <w:pStyle w:val="Heading1"/>
        <w:keepNext/>
        <w:spacing w:before="280" w:after="60" w:line="252" w:lineRule="auto"/>
        <w:pBdr>
          <w:bottom w:val="single" w:sz="12" w:space="4" w:color="1F4E79"/>
        </w:pBdr>
      </w:pPr>
      <w:r>
        <w:rPr>
          <w:rFonts w:ascii="Arial" w:hAnsi="Arial" w:cs="Arial" w:eastAsia="Arial"/>
          <w:b/>
          <w:color w:val="1F4E79"/>
          <w:sz w:val="30"/>
        </w:rPr>
        <w:t>4. Historical Corporate Development</w:t>
      </w:r>
    </w:p>
    <w:p>
      <w:pPr>
        <w:spacing w:before="0" w:after="120" w:line="307" w:lineRule="auto"/>
      </w:pPr>
      <w:r>
        <w:rPr>
          <w:rFonts w:ascii="Arial" w:hAnsi="Arial" w:cs="Arial" w:eastAsia="Arial"/>
          <w:b w:val="0"/>
          <w:i w:val="0"/>
          <w:color w:val="1B2733"/>
          <w:sz w:val="19"/>
        </w:rPr>
        <w:t>The company's historical trajectory provides useful context for evaluating operational resilience. It began in 1948 and initially produced machinery and later precision screws. In 1972, it entered into a capital relationship with JUKI Co., Ltd. and joined the JUKI Group. Capital was increased from ¥10 million to ¥20 million at that point. In 1973, the company opened its Shiokawa factory in Fukushima and consolidated operations there. Matsumoto Precision The historical record subsequently shows:</w:t>
      </w:r>
    </w:p>
    <w:p>
      <w:pPr>
        <w:pStyle w:val="ListBullet"/>
        <w:spacing w:before="0" w:after="60" w:line="293" w:lineRule="auto"/>
        <w:ind w:left="351" w:hanging="193"/>
      </w:pPr>
      <w:r>
        <w:rPr>
          <w:rFonts w:ascii="Arial" w:hAnsi="Arial" w:cs="Arial" w:eastAsia="Arial"/>
          <w:color w:val="1B2733"/>
          <w:sz w:val="19"/>
        </w:rPr>
        <w:t>expansion of the Fukushima manufacturing base;</w:t>
      </w:r>
    </w:p>
    <w:p>
      <w:pPr>
        <w:pStyle w:val="ListBullet"/>
        <w:spacing w:before="0" w:after="60" w:line="293" w:lineRule="auto"/>
        <w:ind w:left="351" w:hanging="193"/>
      </w:pPr>
      <w:r>
        <w:rPr>
          <w:rFonts w:ascii="Arial" w:hAnsi="Arial" w:cs="Arial" w:eastAsia="Arial"/>
          <w:color w:val="1B2733"/>
          <w:sz w:val="19"/>
        </w:rPr>
        <w:t>construction of a third factory in 2015;</w:t>
      </w:r>
    </w:p>
    <w:p>
      <w:pPr>
        <w:pStyle w:val="ListBullet"/>
        <w:spacing w:before="0" w:after="60" w:line="293" w:lineRule="auto"/>
        <w:ind w:left="351" w:hanging="193"/>
      </w:pPr>
      <w:r>
        <w:rPr>
          <w:rFonts w:ascii="Arial" w:hAnsi="Arial" w:cs="Arial" w:eastAsia="Arial"/>
          <w:color w:val="1B2733"/>
          <w:sz w:val="19"/>
        </w:rPr>
        <w:t>management succession in 2017;</w:t>
      </w:r>
    </w:p>
    <w:p>
      <w:pPr>
        <w:pStyle w:val="ListBullet"/>
        <w:spacing w:before="0" w:after="60" w:line="293" w:lineRule="auto"/>
        <w:ind w:left="351" w:hanging="193"/>
      </w:pPr>
      <w:r>
        <w:rPr>
          <w:rFonts w:ascii="Arial" w:hAnsi="Arial" w:cs="Arial" w:eastAsia="Arial"/>
          <w:color w:val="1B2733"/>
          <w:sz w:val="19"/>
        </w:rPr>
        <w:t>ERP introduction in 2021;</w:t>
      </w:r>
    </w:p>
    <w:p>
      <w:pPr>
        <w:pStyle w:val="ListBullet"/>
        <w:spacing w:before="0" w:after="60" w:line="293" w:lineRule="auto"/>
        <w:ind w:left="351" w:hanging="193"/>
      </w:pPr>
      <w:r>
        <w:rPr>
          <w:rFonts w:ascii="Arial" w:hAnsi="Arial" w:cs="Arial" w:eastAsia="Arial"/>
          <w:color w:val="1B2733"/>
          <w:sz w:val="19"/>
        </w:rPr>
        <w:t>Vietnam subsidiary in 2022;</w:t>
      </w:r>
    </w:p>
    <w:p>
      <w:pPr>
        <w:pStyle w:val="ListBullet"/>
        <w:spacing w:before="0" w:after="60" w:line="293" w:lineRule="auto"/>
        <w:ind w:left="351" w:hanging="193"/>
      </w:pPr>
      <w:r>
        <w:rPr>
          <w:rFonts w:ascii="Arial" w:hAnsi="Arial" w:cs="Arial" w:eastAsia="Arial"/>
          <w:color w:val="1B2733"/>
          <w:sz w:val="19"/>
        </w:rPr>
        <w:t>DX/GX implementation from 2021 onward;</w:t>
      </w:r>
    </w:p>
    <w:p>
      <w:pPr>
        <w:pStyle w:val="ListBullet"/>
        <w:spacing w:before="0" w:after="60" w:line="293" w:lineRule="auto"/>
        <w:ind w:left="351" w:hanging="193"/>
      </w:pPr>
      <w:r>
        <w:rPr>
          <w:rFonts w:ascii="Arial" w:hAnsi="Arial" w:cs="Arial" w:eastAsia="Arial"/>
          <w:color w:val="1B2733"/>
          <w:sz w:val="19"/>
        </w:rPr>
        <w:t>further digital and sustainability initiatives through 2024-2025. Matsumoto Precision This matters because the company's current manufacturing model is the result of several strategic adaptations rather than a single recent initiative.</w:t>
      </w:r>
    </w:p>
    <w:p>
      <w:pPr>
        <w:pStyle w:val="Heading1"/>
        <w:keepNext/>
        <w:spacing w:before="280" w:after="60" w:line="252" w:lineRule="auto"/>
        <w:pBdr>
          <w:bottom w:val="single" w:sz="12" w:space="4" w:color="1F4E79"/>
        </w:pBdr>
      </w:pPr>
      <w:r>
        <w:rPr>
          <w:rFonts w:ascii="Arial" w:hAnsi="Arial" w:cs="Arial" w:eastAsia="Arial"/>
          <w:b/>
          <w:color w:val="1F4E79"/>
          <w:sz w:val="30"/>
        </w:rPr>
        <w:t>5. Manufacturing Capability</w:t>
      </w:r>
    </w:p>
    <w:p>
      <w:pPr>
        <w:spacing w:before="0" w:after="120" w:line="307" w:lineRule="auto"/>
      </w:pPr>
      <w:r>
        <w:rPr>
          <w:rFonts w:ascii="Arial" w:hAnsi="Arial" w:cs="Arial" w:eastAsia="Arial"/>
          <w:b w:val="0"/>
          <w:i w:val="0"/>
          <w:color w:val="1B2733"/>
          <w:sz w:val="19"/>
        </w:rPr>
        <w:t>Matsumoto Precision's core differentiator is its integrated production capability . The Aizu Industry Network Forum profile identifies:</w:t>
      </w:r>
    </w:p>
    <w:p>
      <w:pPr>
        <w:pStyle w:val="ListBullet"/>
        <w:spacing w:before="0" w:after="60" w:line="293" w:lineRule="auto"/>
        <w:ind w:left="351" w:hanging="193"/>
      </w:pPr>
      <w:r>
        <w:rPr>
          <w:rFonts w:ascii="Arial" w:hAnsi="Arial" w:cs="Arial" w:eastAsia="Arial"/>
          <w:color w:val="1B2733"/>
          <w:sz w:val="19"/>
        </w:rPr>
        <w:t>NC lathes;</w:t>
      </w:r>
    </w:p>
    <w:p>
      <w:pPr>
        <w:pStyle w:val="ListBullet"/>
        <w:spacing w:before="0" w:after="60" w:line="293" w:lineRule="auto"/>
        <w:ind w:left="351" w:hanging="193"/>
      </w:pPr>
      <w:r>
        <w:rPr>
          <w:rFonts w:ascii="Arial" w:hAnsi="Arial" w:cs="Arial" w:eastAsia="Arial"/>
          <w:color w:val="1B2733"/>
          <w:sz w:val="19"/>
        </w:rPr>
        <w:t>machining centres;</w:t>
      </w:r>
    </w:p>
    <w:p>
      <w:pPr>
        <w:pStyle w:val="ListBullet"/>
        <w:spacing w:before="0" w:after="60" w:line="293" w:lineRule="auto"/>
        <w:ind w:left="351" w:hanging="193"/>
      </w:pPr>
      <w:r>
        <w:rPr>
          <w:rFonts w:ascii="Arial" w:hAnsi="Arial" w:cs="Arial" w:eastAsia="Arial"/>
          <w:color w:val="1B2733"/>
          <w:sz w:val="19"/>
        </w:rPr>
        <w:t>grinding machines;</w:t>
      </w:r>
    </w:p>
    <w:p>
      <w:pPr>
        <w:pStyle w:val="ListBullet"/>
        <w:spacing w:before="0" w:after="60" w:line="293" w:lineRule="auto"/>
        <w:ind w:left="351" w:hanging="193"/>
      </w:pPr>
      <w:r>
        <w:rPr>
          <w:rFonts w:ascii="Arial" w:hAnsi="Arial" w:cs="Arial" w:eastAsia="Arial"/>
          <w:color w:val="1B2733"/>
          <w:sz w:val="19"/>
        </w:rPr>
        <w:t>gas carburizing/nitriding furnaces;</w:t>
      </w:r>
    </w:p>
    <w:p>
      <w:pPr>
        <w:pStyle w:val="ListBullet"/>
        <w:spacing w:before="0" w:after="60" w:line="293" w:lineRule="auto"/>
        <w:ind w:left="351" w:hanging="193"/>
      </w:pPr>
      <w:r>
        <w:rPr>
          <w:rFonts w:ascii="Arial" w:hAnsi="Arial" w:cs="Arial" w:eastAsia="Arial"/>
          <w:color w:val="1B2733"/>
          <w:sz w:val="19"/>
        </w:rPr>
        <w:t>automated assembly equipment;</w:t>
      </w:r>
    </w:p>
    <w:p>
      <w:pPr>
        <w:pStyle w:val="ListBullet"/>
        <w:spacing w:before="0" w:after="60" w:line="293" w:lineRule="auto"/>
        <w:ind w:left="351" w:hanging="193"/>
      </w:pPr>
      <w:r>
        <w:rPr>
          <w:rFonts w:ascii="Arial" w:hAnsi="Arial" w:cs="Arial" w:eastAsia="Arial"/>
          <w:color w:val="1B2733"/>
          <w:sz w:val="19"/>
        </w:rPr>
        <w:t>cutting;</w:t>
      </w:r>
    </w:p>
    <w:p>
      <w:pPr>
        <w:pStyle w:val="ListBullet"/>
        <w:spacing w:before="0" w:after="60" w:line="293" w:lineRule="auto"/>
        <w:ind w:left="351" w:hanging="193"/>
      </w:pPr>
      <w:r>
        <w:rPr>
          <w:rFonts w:ascii="Arial" w:hAnsi="Arial" w:cs="Arial" w:eastAsia="Arial"/>
          <w:color w:val="1B2733"/>
          <w:sz w:val="19"/>
        </w:rPr>
        <w:t>grinding;</w:t>
      </w:r>
    </w:p>
    <w:p>
      <w:pPr>
        <w:pStyle w:val="ListBullet"/>
        <w:spacing w:before="0" w:after="60" w:line="293" w:lineRule="auto"/>
        <w:ind w:left="351" w:hanging="193"/>
      </w:pPr>
      <w:r>
        <w:rPr>
          <w:rFonts w:ascii="Arial" w:hAnsi="Arial" w:cs="Arial" w:eastAsia="Arial"/>
          <w:color w:val="1B2733"/>
          <w:sz w:val="19"/>
        </w:rPr>
        <w:t>heat treatment;</w:t>
      </w:r>
    </w:p>
    <w:p>
      <w:pPr>
        <w:pStyle w:val="ListBullet"/>
        <w:spacing w:before="0" w:after="60" w:line="293" w:lineRule="auto"/>
        <w:ind w:left="351" w:hanging="193"/>
      </w:pPr>
      <w:r>
        <w:rPr>
          <w:rFonts w:ascii="Arial" w:hAnsi="Arial" w:cs="Arial" w:eastAsia="Arial"/>
          <w:color w:val="1B2733"/>
          <w:sz w:val="19"/>
        </w:rPr>
        <w:t>assembly.</w:t>
      </w:r>
    </w:p>
    <w:p>
      <w:pPr>
        <w:pStyle w:val="ListBullet"/>
        <w:spacing w:before="0" w:after="60" w:line="293" w:lineRule="auto"/>
        <w:ind w:left="351" w:hanging="193"/>
      </w:pPr>
      <w:r>
        <w:rPr>
          <w:rFonts w:ascii="Arial" w:hAnsi="Arial" w:cs="Arial" w:eastAsia="Arial"/>
          <w:color w:val="1B2733"/>
          <w:sz w:val="19"/>
        </w:rPr>
        <w:t>The profile historically listed approximately:</w:t>
      </w:r>
    </w:p>
    <w:p>
      <w:pPr>
        <w:pStyle w:val="ListBullet"/>
        <w:spacing w:before="0" w:after="60" w:line="293" w:lineRule="auto"/>
        <w:ind w:left="351" w:hanging="193"/>
      </w:pPr>
      <w:r>
        <w:rPr>
          <w:rFonts w:ascii="Arial" w:hAnsi="Arial" w:cs="Arial" w:eastAsia="Arial"/>
          <w:color w:val="1B2733"/>
          <w:sz w:val="19"/>
        </w:rPr>
        <w:t>119 NC lathes</w:t>
      </w:r>
    </w:p>
    <w:p>
      <w:pPr>
        <w:pStyle w:val="ListBullet"/>
        <w:spacing w:before="0" w:after="60" w:line="293" w:lineRule="auto"/>
        <w:ind w:left="351" w:hanging="193"/>
      </w:pPr>
      <w:r>
        <w:rPr>
          <w:rFonts w:ascii="Arial" w:hAnsi="Arial" w:cs="Arial" w:eastAsia="Arial"/>
          <w:color w:val="1B2733"/>
          <w:sz w:val="19"/>
        </w:rPr>
        <w:t>40 machining centres</w:t>
      </w:r>
    </w:p>
    <w:p>
      <w:pPr>
        <w:pStyle w:val="ListBullet"/>
        <w:spacing w:before="0" w:after="60" w:line="293" w:lineRule="auto"/>
        <w:ind w:left="351" w:hanging="193"/>
      </w:pPr>
      <w:r>
        <w:rPr>
          <w:rFonts w:ascii="Arial" w:hAnsi="Arial" w:cs="Arial" w:eastAsia="Arial"/>
          <w:color w:val="1B2733"/>
          <w:sz w:val="19"/>
        </w:rPr>
        <w:t>33 grinding machines</w:t>
      </w:r>
    </w:p>
    <w:p>
      <w:pPr>
        <w:pStyle w:val="ListBullet"/>
        <w:spacing w:before="0" w:after="60" w:line="293" w:lineRule="auto"/>
        <w:ind w:left="351" w:hanging="193"/>
      </w:pPr>
      <w:r>
        <w:rPr>
          <w:rFonts w:ascii="Arial" w:hAnsi="Arial" w:cs="Arial" w:eastAsia="Arial"/>
          <w:color w:val="1B2733"/>
          <w:sz w:val="19"/>
        </w:rPr>
        <w:t>3 gas carburizing/nitriding furnaces</w:t>
      </w:r>
    </w:p>
    <w:p>
      <w:pPr>
        <w:pStyle w:val="ListBullet"/>
        <w:spacing w:before="0" w:after="60" w:line="293" w:lineRule="auto"/>
        <w:ind w:left="351" w:hanging="193"/>
      </w:pPr>
      <w:r>
        <w:rPr>
          <w:rFonts w:ascii="Arial" w:hAnsi="Arial" w:cs="Arial" w:eastAsia="Arial"/>
          <w:color w:val="1B2733"/>
          <w:sz w:val="19"/>
        </w:rPr>
        <w:t>8 automated assembly-related machines</w:t>
      </w:r>
    </w:p>
    <w:p>
      <w:pPr>
        <w:pStyle w:val="ListBullet"/>
        <w:spacing w:before="0" w:after="60" w:line="293" w:lineRule="auto"/>
        <w:ind w:left="351" w:hanging="193"/>
      </w:pPr>
      <w:r>
        <w:rPr>
          <w:rFonts w:ascii="Arial" w:hAnsi="Arial" w:cs="Arial" w:eastAsia="Arial"/>
          <w:color w:val="1B2733"/>
          <w:sz w:val="19"/>
        </w:rPr>
        <w:t>13 automatic multi-head milling machines . Aizu Industry Network Forum The company describes this as a one-stop manufacturing system from material procurement through machining, heat treatment, grinding and finishing. Aizu Industry Network Forum This is operationally relevant because it reduces the number of production stages that have</w:t>
      </w:r>
    </w:p>
    <w:p>
      <w:pPr>
        <w:spacing w:before="0" w:after="120" w:line="307" w:lineRule="auto"/>
      </w:pPr>
      <w:r>
        <w:rPr>
          <w:rFonts w:ascii="Arial" w:hAnsi="Arial" w:cs="Arial" w:eastAsia="Arial"/>
          <w:b w:val="0"/>
          <w:i w:val="0"/>
          <w:color w:val="1B2733"/>
          <w:sz w:val="19"/>
        </w:rPr>
        <w:t>to be outsourced. It does not , however, by itself establish capacity utilization or profitability.</w:t>
      </w:r>
    </w:p>
    <w:p>
      <w:pPr>
        <w:pStyle w:val="Heading1"/>
        <w:keepNext/>
        <w:spacing w:before="280" w:after="60" w:line="252" w:lineRule="auto"/>
        <w:pBdr>
          <w:bottom w:val="single" w:sz="12" w:space="4" w:color="1F4E79"/>
        </w:pBdr>
      </w:pPr>
      <w:r>
        <w:rPr>
          <w:rFonts w:ascii="Arial" w:hAnsi="Arial" w:cs="Arial" w:eastAsia="Arial"/>
          <w:b/>
          <w:color w:val="1F4E79"/>
          <w:sz w:val="30"/>
        </w:rPr>
        <w:t>6. Customer and Sector Exposure</w:t>
      </w:r>
    </w:p>
    <w:p>
      <w:pPr>
        <w:spacing w:before="0" w:after="120" w:line="307" w:lineRule="auto"/>
      </w:pPr>
      <w:r>
        <w:rPr>
          <w:rFonts w:ascii="Arial" w:hAnsi="Arial" w:cs="Arial" w:eastAsia="Arial"/>
          <w:b w:val="0"/>
          <w:i w:val="0"/>
          <w:color w:val="1B2733"/>
          <w:sz w:val="19"/>
        </w:rPr>
        <w:t>The company produces precision components for several industrial applications. Public sources identify:</w:t>
      </w:r>
    </w:p>
    <w:p>
      <w:pPr>
        <w:pStyle w:val="ListBullet"/>
        <w:spacing w:before="0" w:after="60" w:line="293" w:lineRule="auto"/>
        <w:ind w:left="351" w:hanging="193"/>
      </w:pPr>
      <w:r>
        <w:rPr>
          <w:rFonts w:ascii="Arial" w:hAnsi="Arial" w:cs="Arial" w:eastAsia="Arial"/>
          <w:color w:val="1B2733"/>
          <w:sz w:val="19"/>
        </w:rPr>
        <w:t>pneumatic-control components;</w:t>
      </w:r>
    </w:p>
    <w:p>
      <w:pPr>
        <w:pStyle w:val="ListBullet"/>
        <w:spacing w:before="0" w:after="60" w:line="293" w:lineRule="auto"/>
        <w:ind w:left="351" w:hanging="193"/>
      </w:pPr>
      <w:r>
        <w:rPr>
          <w:rFonts w:ascii="Arial" w:hAnsi="Arial" w:cs="Arial" w:eastAsia="Arial"/>
          <w:color w:val="1B2733"/>
          <w:sz w:val="19"/>
        </w:rPr>
        <w:t>automotive components;</w:t>
      </w:r>
    </w:p>
    <w:p>
      <w:pPr>
        <w:pStyle w:val="ListBullet"/>
        <w:spacing w:before="0" w:after="60" w:line="293" w:lineRule="auto"/>
        <w:ind w:left="351" w:hanging="193"/>
      </w:pPr>
      <w:r>
        <w:rPr>
          <w:rFonts w:ascii="Arial" w:hAnsi="Arial" w:cs="Arial" w:eastAsia="Arial"/>
          <w:color w:val="1B2733"/>
          <w:sz w:val="19"/>
        </w:rPr>
        <w:t>industrial sewing-machine components;</w:t>
      </w:r>
    </w:p>
    <w:p>
      <w:pPr>
        <w:pStyle w:val="ListBullet"/>
        <w:spacing w:before="0" w:after="60" w:line="293" w:lineRule="auto"/>
        <w:ind w:left="351" w:hanging="193"/>
      </w:pPr>
      <w:r>
        <w:rPr>
          <w:rFonts w:ascii="Arial" w:hAnsi="Arial" w:cs="Arial" w:eastAsia="Arial"/>
          <w:color w:val="1B2733"/>
          <w:sz w:val="19"/>
        </w:rPr>
        <w:t>OA/FA components;</w:t>
      </w:r>
    </w:p>
    <w:p>
      <w:pPr>
        <w:pStyle w:val="ListBullet"/>
        <w:spacing w:before="0" w:after="60" w:line="293" w:lineRule="auto"/>
        <w:ind w:left="351" w:hanging="193"/>
      </w:pPr>
      <w:r>
        <w:rPr>
          <w:rFonts w:ascii="Arial" w:hAnsi="Arial" w:cs="Arial" w:eastAsia="Arial"/>
          <w:color w:val="1B2733"/>
          <w:sz w:val="19"/>
        </w:rPr>
        <w:t>construction-equipment-related components. The government case study identifies automotive and semiconductor-manufacturing equipment as end-user sectors. Japan's Ministry of Economy, Trade and Industry (METI)</w:t>
      </w:r>
    </w:p>
    <w:p>
      <w:pPr>
        <w:pStyle w:val="ListBullet"/>
        <w:spacing w:before="0" w:after="60" w:line="293" w:lineRule="auto"/>
        <w:ind w:left="351" w:hanging="193"/>
      </w:pPr>
      <w:r>
        <w:rPr>
          <w:rFonts w:ascii="Arial" w:hAnsi="Arial" w:cs="Arial" w:eastAsia="Arial"/>
          <w:color w:val="1B2733"/>
          <w:sz w:val="19"/>
        </w:rPr>
        <w:t>The Aizu Industry Network Forum lists major customers including:</w:t>
      </w:r>
    </w:p>
    <w:p>
      <w:pPr>
        <w:pStyle w:val="ListBullet"/>
        <w:spacing w:before="0" w:after="60" w:line="293" w:lineRule="auto"/>
        <w:ind w:left="351" w:hanging="193"/>
      </w:pPr>
      <w:r>
        <w:rPr>
          <w:rFonts w:ascii="Arial" w:hAnsi="Arial" w:cs="Arial" w:eastAsia="Arial"/>
          <w:color w:val="1B2733"/>
          <w:sz w:val="19"/>
        </w:rPr>
        <w:t>SMC;</w:t>
      </w:r>
    </w:p>
    <w:p>
      <w:pPr>
        <w:pStyle w:val="ListBullet"/>
        <w:spacing w:before="0" w:after="60" w:line="293" w:lineRule="auto"/>
        <w:ind w:left="351" w:hanging="193"/>
      </w:pPr>
      <w:r>
        <w:rPr>
          <w:rFonts w:ascii="Arial" w:hAnsi="Arial" w:cs="Arial" w:eastAsia="Arial"/>
          <w:color w:val="1B2733"/>
          <w:sz w:val="19"/>
        </w:rPr>
        <w:t>Tsubakimoto Chain;</w:t>
      </w:r>
    </w:p>
    <w:p>
      <w:pPr>
        <w:pStyle w:val="ListBullet"/>
        <w:spacing w:before="0" w:after="60" w:line="293" w:lineRule="auto"/>
        <w:ind w:left="351" w:hanging="193"/>
      </w:pPr>
      <w:r>
        <w:rPr>
          <w:rFonts w:ascii="Arial" w:hAnsi="Arial" w:cs="Arial" w:eastAsia="Arial"/>
          <w:color w:val="1B2733"/>
          <w:sz w:val="19"/>
        </w:rPr>
        <w:t>JUKI;</w:t>
      </w:r>
    </w:p>
    <w:p>
      <w:pPr>
        <w:pStyle w:val="ListBullet"/>
        <w:spacing w:before="0" w:after="60" w:line="293" w:lineRule="auto"/>
        <w:ind w:left="351" w:hanging="193"/>
      </w:pPr>
      <w:r>
        <w:rPr>
          <w:rFonts w:ascii="Arial" w:hAnsi="Arial" w:cs="Arial" w:eastAsia="Arial"/>
          <w:color w:val="1B2733"/>
          <w:sz w:val="19"/>
        </w:rPr>
        <w:t>others. Aizu Industry Network Forum This indicates that the company is not dependent on a single publicly identified end market. However, the public record does not provide a current customer-concentration table or customer-by-customer revenue share.</w:t>
      </w:r>
    </w:p>
    <w:p>
      <w:pPr>
        <w:pStyle w:val="ListBullet"/>
        <w:spacing w:before="0" w:after="60" w:line="293" w:lineRule="auto"/>
        <w:ind w:left="351" w:hanging="193"/>
      </w:pPr>
      <w:r>
        <w:rPr>
          <w:rFonts w:ascii="Arial" w:hAnsi="Arial" w:cs="Arial" w:eastAsia="Arial"/>
          <w:color w:val="1B2733"/>
          <w:sz w:val="19"/>
        </w:rPr>
        <w:t>Therefore: Diversification is demonstrable at the sector/customer-name level, but its quantitative extent is unknown.</w:t>
      </w:r>
    </w:p>
    <w:p>
      <w:pPr>
        <w:pStyle w:val="Heading1"/>
        <w:keepNext/>
        <w:spacing w:before="280" w:after="60" w:line="252" w:lineRule="auto"/>
        <w:pBdr>
          <w:bottom w:val="single" w:sz="12" w:space="4" w:color="1F4E79"/>
        </w:pBdr>
      </w:pPr>
      <w:r>
        <w:rPr>
          <w:rFonts w:ascii="Arial" w:hAnsi="Arial" w:cs="Arial" w:eastAsia="Arial"/>
          <w:b/>
          <w:color w:val="1F4E79"/>
          <w:sz w:val="30"/>
        </w:rPr>
        <w:t>7. Financial Footprint</w:t>
      </w:r>
    </w:p>
    <w:p>
      <w:pPr>
        <w:pStyle w:val="Heading1"/>
        <w:keepNext/>
        <w:spacing w:before="280" w:after="60" w:line="252" w:lineRule="auto"/>
        <w:pBdr>
          <w:bottom w:val="single" w:sz="12" w:space="4" w:color="1F4E79"/>
        </w:pBdr>
      </w:pPr>
      <w:r>
        <w:rPr>
          <w:rFonts w:ascii="Arial" w:hAnsi="Arial" w:cs="Arial" w:eastAsia="Arial"/>
          <w:b/>
          <w:color w:val="1F4E79"/>
          <w:sz w:val="30"/>
        </w:rPr>
        <w:t>7.1 Revenue</w:t>
      </w:r>
    </w:p>
    <w:p>
      <w:pPr>
        <w:spacing w:before="0" w:after="120" w:line="307" w:lineRule="auto"/>
      </w:pPr>
      <w:r>
        <w:rPr>
          <w:rFonts w:ascii="Arial" w:hAnsi="Arial" w:cs="Arial" w:eastAsia="Arial"/>
          <w:b w:val="0"/>
          <w:i w:val="0"/>
          <w:color w:val="1B2733"/>
          <w:sz w:val="19"/>
        </w:rPr>
        <w:t>The strongest recent public revenue figure identified during the research comes from SAP's 2025 profile of the company. It describes Matsumoto Precision as having approximately: ¥1.8 billion in FY2024 revenue. The same source describes approximately 140 employees at that time. SAP News Center This provides a useful scale indicator. However, it should not be treated as equivalent to a publicly filed audited financial statement. Approximate scale Using the reported FY2024 revenue of approximately ¥1.8 billion and the approximately 140 employees cited by SAP, revenue per employee would be approximately: ¥12.9 million per employee. This is an analytical calculation rather than a company-reported KPI. It should not be interpreted as profitability or productivity without additional accounting data.</w:t>
      </w:r>
    </w:p>
    <w:p>
      <w:pPr>
        <w:pStyle w:val="Heading1"/>
        <w:keepNext/>
        <w:spacing w:before="280" w:after="60" w:line="252" w:lineRule="auto"/>
        <w:pBdr>
          <w:bottom w:val="single" w:sz="12" w:space="4" w:color="1F4E79"/>
        </w:pBdr>
      </w:pPr>
      <w:r>
        <w:rPr>
          <w:rFonts w:ascii="Arial" w:hAnsi="Arial" w:cs="Arial" w:eastAsia="Arial"/>
          <w:b/>
          <w:color w:val="1F4E79"/>
          <w:sz w:val="30"/>
        </w:rPr>
        <w:t>8. Profitability - What Can and Cannot</w:t>
      </w:r>
    </w:p>
    <w:p>
      <w:pPr>
        <w:pStyle w:val="Heading1"/>
        <w:keepNext/>
        <w:spacing w:before="280" w:after="60" w:line="252" w:lineRule="auto"/>
        <w:pBdr>
          <w:bottom w:val="single" w:sz="12" w:space="4" w:color="1F4E79"/>
        </w:pBdr>
      </w:pPr>
      <w:r>
        <w:rPr>
          <w:rFonts w:ascii="Arial" w:hAnsi="Arial" w:cs="Arial" w:eastAsia="Arial"/>
          <w:b/>
          <w:color w:val="1F4E79"/>
          <w:sz w:val="30"/>
        </w:rPr>
        <w:t>Be Established</w:t>
      </w:r>
    </w:p>
    <w:p>
      <w:pPr>
        <w:spacing w:before="0" w:after="120" w:line="307" w:lineRule="auto"/>
      </w:pPr>
      <w:r>
        <w:rPr>
          <w:rFonts w:ascii="Arial" w:hAnsi="Arial" w:cs="Arial" w:eastAsia="Arial"/>
          <w:b w:val="0"/>
          <w:i w:val="0"/>
          <w:color w:val="1B2733"/>
          <w:sz w:val="19"/>
        </w:rPr>
        <w:t>This is one of the most important limitations of the case. The public record contains several claims concerning profitability improvements after DX , but does not provide a complete current income statement. Reported improvements include:</w:t>
      </w:r>
    </w:p>
    <w:p>
      <w:pPr>
        <w:pStyle w:val="ListBullet"/>
        <w:spacing w:before="0" w:after="60" w:line="293" w:lineRule="auto"/>
        <w:ind w:left="351" w:hanging="193"/>
      </w:pPr>
      <w:r>
        <w:rPr>
          <w:rFonts w:ascii="Arial" w:hAnsi="Arial" w:cs="Arial" w:eastAsia="Arial"/>
          <w:color w:val="1B2733"/>
          <w:sz w:val="19"/>
        </w:rPr>
        <w:t>approximately 30% productivity improvement ;</w:t>
      </w:r>
    </w:p>
    <w:p>
      <w:pPr>
        <w:pStyle w:val="ListBullet"/>
        <w:spacing w:before="0" w:after="60" w:line="293" w:lineRule="auto"/>
        <w:ind w:left="351" w:hanging="193"/>
      </w:pPr>
      <w:r>
        <w:rPr>
          <w:rFonts w:ascii="Arial" w:hAnsi="Arial" w:cs="Arial" w:eastAsia="Arial"/>
          <w:color w:val="1B2733"/>
          <w:sz w:val="19"/>
        </w:rPr>
        <w:t>approximately 3 percentage-point / 3% profitability improvement , depending on source and wording;</w:t>
      </w:r>
    </w:p>
    <w:p>
      <w:pPr>
        <w:pStyle w:val="ListBullet"/>
        <w:spacing w:before="0" w:after="60" w:line="293" w:lineRule="auto"/>
        <w:ind w:left="351" w:hanging="193"/>
      </w:pPr>
      <w:r>
        <w:rPr>
          <w:rFonts w:ascii="Arial" w:hAnsi="Arial" w:cs="Arial" w:eastAsia="Arial"/>
          <w:color w:val="1B2733"/>
          <w:sz w:val="19"/>
        </w:rPr>
        <w:t>approximately 25% gross-profit improvement in another management presentation. These figures come from company, SAP and regional industrial-network materials rather than from a published audited financial statement. They therefore provide evidence of reported operational improvement , but not independently verifiable net profit.</w:t>
      </w:r>
    </w:p>
    <w:p>
      <w:pPr>
        <w:spacing w:before="0" w:after="120" w:line="307" w:lineRule="auto"/>
      </w:pPr>
      <w:r>
        <w:rPr>
          <w:rFonts w:ascii="Arial" w:hAnsi="Arial" w:cs="Arial" w:eastAsia="Arial"/>
          <w:b w:val="0"/>
          <w:i w:val="0"/>
          <w:color w:val="1B2733"/>
          <w:sz w:val="19"/>
        </w:rPr>
        <w:t>It would be incorrect to conclude: "Matsumoto Precision is profitable." The stronger and more defensible formulation is: Public implementation materials report material improvements in productivity and profitability-related metrics following the company's DX programme, but current absolute profit, operating margin and net income cannot be established from the reviewed public record.</w:t>
      </w:r>
    </w:p>
    <w:p>
      <w:pPr>
        <w:pStyle w:val="Heading1"/>
        <w:keepNext/>
        <w:spacing w:before="280" w:after="60" w:line="252" w:lineRule="auto"/>
        <w:pBdr>
          <w:bottom w:val="single" w:sz="12" w:space="4" w:color="1F4E79"/>
        </w:pBdr>
      </w:pPr>
      <w:r>
        <w:rPr>
          <w:rFonts w:ascii="Arial" w:hAnsi="Arial" w:cs="Arial" w:eastAsia="Arial"/>
          <w:b/>
          <w:color w:val="1F4E79"/>
          <w:sz w:val="30"/>
        </w:rPr>
        <w:t>9. DX as an Operational Performance</w:t>
      </w:r>
    </w:p>
    <w:p>
      <w:pPr>
        <w:pStyle w:val="Heading1"/>
        <w:keepNext/>
        <w:spacing w:before="280" w:after="60" w:line="252" w:lineRule="auto"/>
        <w:pBdr>
          <w:bottom w:val="single" w:sz="12" w:space="4" w:color="1F4E79"/>
        </w:pBdr>
      </w:pPr>
      <w:r>
        <w:rPr>
          <w:rFonts w:ascii="Arial" w:hAnsi="Arial" w:cs="Arial" w:eastAsia="Arial"/>
          <w:b/>
          <w:color w:val="1F4E79"/>
          <w:sz w:val="30"/>
        </w:rPr>
        <w:t>Indicator</w:t>
      </w:r>
    </w:p>
    <w:p>
      <w:pPr>
        <w:spacing w:before="0" w:after="120" w:line="307" w:lineRule="auto"/>
      </w:pPr>
      <w:r>
        <w:rPr>
          <w:rFonts w:ascii="Arial" w:hAnsi="Arial" w:cs="Arial" w:eastAsia="Arial"/>
          <w:b w:val="0"/>
          <w:i w:val="0"/>
          <w:color w:val="1B2733"/>
          <w:sz w:val="19"/>
        </w:rPr>
        <w:t>The company's DX programme provides some of the most concrete evidence available. The reported transformation included: Product rationalisation Approximately: 20,000 product items → 2,000 The likely interpretation is rationalisation of product/manufacturing complexity after introducing product-level cost visibility. This should not be interpreted literally as the company abandoning 90% of all customers or products. Rather, the evidence indicates substantial rationalisation of the registered/manufactured product portfolio. Inspection Reported inspection time: 30 minutes → 3 minutes Profitability Management/implementation materials report: approximately +25% gross profit Other sources report different profitability metrics. Because the definitions and baselines differ, these numbers should not be combined into a single "DX increased profit by X%" statement. The fact that several sources discuss the same transformation — including the company itself and its systems vendor SAP, neither of which is independent — which makes the operational change somewhat more corroborated than an isolated corporate marketing claim. SAP News Center</w:t>
      </w:r>
    </w:p>
    <w:p>
      <w:pPr>
        <w:pStyle w:val="Heading1"/>
        <w:keepNext/>
        <w:spacing w:before="280" w:after="60" w:line="252" w:lineRule="auto"/>
        <w:pBdr>
          <w:bottom w:val="single" w:sz="12" w:space="4" w:color="1F4E79"/>
        </w:pBdr>
      </w:pPr>
      <w:r>
        <w:rPr>
          <w:rFonts w:ascii="Arial" w:hAnsi="Arial" w:cs="Arial" w:eastAsia="Arial"/>
          <w:b/>
          <w:color w:val="1F4E79"/>
          <w:sz w:val="30"/>
        </w:rPr>
        <w:t>10. GX and Capital Investment</w:t>
      </w:r>
    </w:p>
    <w:p>
      <w:pPr>
        <w:spacing w:before="0" w:after="120" w:line="307" w:lineRule="auto"/>
      </w:pPr>
      <w:r>
        <w:rPr>
          <w:rFonts w:ascii="Arial" w:hAnsi="Arial" w:cs="Arial" w:eastAsia="Arial"/>
          <w:b w:val="0"/>
          <w:i w:val="0"/>
          <w:color w:val="1B2733"/>
          <w:sz w:val="19"/>
        </w:rPr>
        <w:t>The company's transformation has not been limited to software. Its public history records:</w:t>
      </w:r>
    </w:p>
    <w:p>
      <w:pPr>
        <w:pStyle w:val="ListBullet"/>
        <w:spacing w:before="0" w:after="60" w:line="293" w:lineRule="auto"/>
        <w:ind w:left="351" w:hanging="193"/>
      </w:pPr>
      <w:r>
        <w:rPr>
          <w:rFonts w:ascii="Arial" w:hAnsi="Arial" w:cs="Arial" w:eastAsia="Arial"/>
          <w:color w:val="1B2733"/>
          <w:sz w:val="19"/>
        </w:rPr>
        <w:t>renewable-energy PPA;</w:t>
      </w:r>
    </w:p>
    <w:p>
      <w:pPr>
        <w:pStyle w:val="ListBullet"/>
        <w:spacing w:before="0" w:after="60" w:line="293" w:lineRule="auto"/>
        <w:ind w:left="351" w:hanging="193"/>
      </w:pPr>
      <w:r>
        <w:rPr>
          <w:rFonts w:ascii="Arial" w:hAnsi="Arial" w:cs="Arial" w:eastAsia="Arial"/>
          <w:color w:val="1B2733"/>
          <w:sz w:val="19"/>
        </w:rPr>
        <w:t>rooftop solar;</w:t>
      </w:r>
    </w:p>
    <w:p>
      <w:pPr>
        <w:pStyle w:val="ListBullet"/>
        <w:spacing w:before="0" w:after="60" w:line="293" w:lineRule="auto"/>
        <w:ind w:left="351" w:hanging="193"/>
      </w:pPr>
      <w:r>
        <w:rPr>
          <w:rFonts w:ascii="Arial" w:hAnsi="Arial" w:cs="Arial" w:eastAsia="Arial"/>
          <w:color w:val="1B2733"/>
          <w:sz w:val="19"/>
        </w:rPr>
        <w:t>solar carport;</w:t>
      </w:r>
    </w:p>
    <w:p>
      <w:pPr>
        <w:pStyle w:val="ListBullet"/>
        <w:spacing w:before="0" w:after="60" w:line="293" w:lineRule="auto"/>
        <w:ind w:left="351" w:hanging="193"/>
      </w:pPr>
      <w:r>
        <w:rPr>
          <w:rFonts w:ascii="Arial" w:hAnsi="Arial" w:cs="Arial" w:eastAsia="Arial"/>
          <w:color w:val="1B2733"/>
          <w:sz w:val="19"/>
        </w:rPr>
        <w:t>energy-management initiatives;</w:t>
      </w:r>
    </w:p>
    <w:p>
      <w:pPr>
        <w:pStyle w:val="ListBullet"/>
        <w:spacing w:before="0" w:after="60" w:line="293" w:lineRule="auto"/>
        <w:ind w:left="351" w:hanging="193"/>
      </w:pPr>
      <w:r>
        <w:rPr>
          <w:rFonts w:ascii="Arial" w:hAnsi="Arial" w:cs="Arial" w:eastAsia="Arial"/>
          <w:color w:val="1B2733"/>
          <w:sz w:val="19"/>
        </w:rPr>
        <w:t>product-level carbon-footprint calculation;</w:t>
      </w:r>
    </w:p>
    <w:p>
      <w:pPr>
        <w:pStyle w:val="ListBullet"/>
        <w:spacing w:before="0" w:after="60" w:line="293" w:lineRule="auto"/>
        <w:ind w:left="351" w:hanging="193"/>
      </w:pPr>
      <w:r>
        <w:rPr>
          <w:rFonts w:ascii="Arial" w:hAnsi="Arial" w:cs="Arial" w:eastAsia="Arial"/>
          <w:color w:val="1B2733"/>
          <w:sz w:val="19"/>
        </w:rPr>
        <w:t>SAP SFM implementation;</w:t>
      </w:r>
    </w:p>
    <w:p>
      <w:pPr>
        <w:pStyle w:val="ListBullet"/>
        <w:spacing w:before="0" w:after="60" w:line="293" w:lineRule="auto"/>
        <w:ind w:left="351" w:hanging="193"/>
      </w:pPr>
      <w:r>
        <w:rPr>
          <w:rFonts w:ascii="Arial" w:hAnsi="Arial" w:cs="Arial" w:eastAsia="Arial"/>
          <w:color w:val="1B2733"/>
          <w:sz w:val="19"/>
        </w:rPr>
        <w:t>electric vehicle and commercial air-conditioning energy-management testing. Matsumoto Precision In 2024, the company received the Tohoku DX Award 2024 Selection Committee Special Award .</w:t>
      </w:r>
    </w:p>
    <w:p>
      <w:pPr>
        <w:pStyle w:val="ListBullet"/>
        <w:spacing w:before="0" w:after="60" w:line="293" w:lineRule="auto"/>
        <w:ind w:left="351" w:hanging="193"/>
      </w:pPr>
      <w:r>
        <w:rPr>
          <w:rFonts w:ascii="Arial" w:hAnsi="Arial" w:cs="Arial" w:eastAsia="Arial"/>
          <w:color w:val="1B2733"/>
          <w:sz w:val="19"/>
        </w:rPr>
        <w:t>In 2025, it received:</w:t>
      </w:r>
    </w:p>
    <w:p>
      <w:pPr>
        <w:pStyle w:val="ListBullet"/>
        <w:spacing w:before="0" w:after="60" w:line="293" w:lineRule="auto"/>
        <w:ind w:left="351" w:hanging="193"/>
      </w:pPr>
      <w:r>
        <w:rPr>
          <w:rFonts w:ascii="Arial" w:hAnsi="Arial" w:cs="Arial" w:eastAsia="Arial"/>
          <w:color w:val="1B2733"/>
          <w:sz w:val="19"/>
        </w:rPr>
        <w:t>IT Japan Award 2025 Special Award</w:t>
      </w:r>
    </w:p>
    <w:p>
      <w:pPr>
        <w:pStyle w:val="ListBullet"/>
        <w:spacing w:before="0" w:after="60" w:line="293" w:lineRule="auto"/>
        <w:ind w:left="351" w:hanging="193"/>
      </w:pPr>
      <w:r>
        <w:rPr>
          <w:rFonts w:ascii="Arial" w:hAnsi="Arial" w:cs="Arial" w:eastAsia="Arial"/>
          <w:color w:val="1B2733"/>
          <w:sz w:val="19"/>
        </w:rPr>
        <w:t>SAP Innovation Awards 2025 Sustainability Hero Award . Matsumoto Precision These awards are not financial evidence, but they provide external corroboration that the DX/GX programme was substantial enough to attract institutional and industry recognition.</w:t>
      </w:r>
    </w:p>
    <w:p>
      <w:pPr>
        <w:pStyle w:val="Heading1"/>
        <w:keepNext/>
        <w:spacing w:before="280" w:after="60" w:line="252" w:lineRule="auto"/>
        <w:pBdr>
          <w:bottom w:val="single" w:sz="12" w:space="4" w:color="1F4E79"/>
        </w:pBdr>
      </w:pPr>
      <w:r>
        <w:rPr>
          <w:rFonts w:ascii="Arial" w:hAnsi="Arial" w:cs="Arial" w:eastAsia="Arial"/>
          <w:b/>
          <w:color w:val="1F4E79"/>
          <w:sz w:val="30"/>
        </w:rPr>
        <w:t>11. Vietnam Expansion</w:t>
      </w:r>
    </w:p>
    <w:p>
      <w:pPr>
        <w:spacing w:before="0" w:after="120" w:line="307" w:lineRule="auto"/>
      </w:pPr>
      <w:r>
        <w:rPr>
          <w:rFonts w:ascii="Arial" w:hAnsi="Arial" w:cs="Arial" w:eastAsia="Arial"/>
          <w:b w:val="0"/>
          <w:i w:val="0"/>
          <w:color w:val="1B2733"/>
          <w:sz w:val="19"/>
        </w:rPr>
        <w:t>This is one of the strongest indicators of manufacturing expansion. In June 2022, Nikkan Kogyo Shimbun reported that Matsumoto Precision planned to begin production in Vietnam in January 2023. The reported plan included:</w:t>
      </w:r>
    </w:p>
    <w:p>
      <w:pPr>
        <w:pStyle w:val="ListBullet"/>
        <w:spacing w:before="0" w:after="60" w:line="293" w:lineRule="auto"/>
        <w:ind w:left="351" w:hanging="193"/>
      </w:pPr>
      <w:r>
        <w:rPr>
          <w:rFonts w:ascii="Arial" w:hAnsi="Arial" w:cs="Arial" w:eastAsia="Arial"/>
          <w:color w:val="1B2733"/>
          <w:sz w:val="19"/>
        </w:rPr>
        <w:t>total investment: approximately ¥500 million ;</w:t>
      </w:r>
    </w:p>
    <w:p>
      <w:pPr>
        <w:pStyle w:val="ListBullet"/>
        <w:spacing w:before="0" w:after="60" w:line="293" w:lineRule="auto"/>
        <w:ind w:left="351" w:hanging="193"/>
      </w:pPr>
      <w:r>
        <w:rPr>
          <w:rFonts w:ascii="Arial" w:hAnsi="Arial" w:cs="Arial" w:eastAsia="Arial"/>
          <w:color w:val="1B2733"/>
          <w:sz w:val="19"/>
        </w:rPr>
        <w:t>Dong Nai Province;</w:t>
      </w:r>
    </w:p>
    <w:p>
      <w:pPr>
        <w:pStyle w:val="ListBullet"/>
        <w:spacing w:before="0" w:after="60" w:line="293" w:lineRule="auto"/>
        <w:ind w:left="351" w:hanging="193"/>
      </w:pPr>
      <w:r>
        <w:rPr>
          <w:rFonts w:ascii="Arial" w:hAnsi="Arial" w:cs="Arial" w:eastAsia="Arial"/>
          <w:color w:val="1B2733"/>
          <w:sz w:val="19"/>
        </w:rPr>
        <w:t>Long Duc Industrial Park;</w:t>
      </w:r>
    </w:p>
    <w:p>
      <w:pPr>
        <w:pStyle w:val="ListBullet"/>
        <w:spacing w:before="0" w:after="60" w:line="293" w:lineRule="auto"/>
        <w:ind w:left="351" w:hanging="193"/>
      </w:pPr>
      <w:r>
        <w:rPr>
          <w:rFonts w:ascii="Arial" w:hAnsi="Arial" w:cs="Arial" w:eastAsia="Arial"/>
          <w:color w:val="1B2733"/>
          <w:sz w:val="19"/>
        </w:rPr>
        <w:t>approximately 1,000 m2 rented factory ;</w:t>
      </w:r>
    </w:p>
    <w:p>
      <w:pPr>
        <w:pStyle w:val="ListBullet"/>
        <w:spacing w:before="0" w:after="60" w:line="293" w:lineRule="auto"/>
        <w:ind w:left="351" w:hanging="193"/>
      </w:pPr>
      <w:r>
        <w:rPr>
          <w:rFonts w:ascii="Arial" w:hAnsi="Arial" w:cs="Arial" w:eastAsia="Arial"/>
          <w:color w:val="1B2733"/>
          <w:sz w:val="19"/>
        </w:rPr>
        <w:t>five-year lease;</w:t>
      </w:r>
    </w:p>
    <w:p>
      <w:pPr>
        <w:pStyle w:val="ListBullet"/>
        <w:spacing w:before="0" w:after="60" w:line="293" w:lineRule="auto"/>
        <w:ind w:left="351" w:hanging="193"/>
      </w:pPr>
      <w:r>
        <w:rPr>
          <w:rFonts w:ascii="Arial" w:hAnsi="Arial" w:cs="Arial" w:eastAsia="Arial"/>
          <w:color w:val="1B2733"/>
          <w:sz w:val="19"/>
        </w:rPr>
        <w:t>approximately 10 production machines ;</w:t>
      </w:r>
    </w:p>
    <w:p>
      <w:pPr>
        <w:pStyle w:val="ListBullet"/>
        <w:spacing w:before="0" w:after="60" w:line="293" w:lineRule="auto"/>
        <w:ind w:left="351" w:hanging="193"/>
      </w:pPr>
      <w:r>
        <w:rPr>
          <w:rFonts w:ascii="Arial" w:hAnsi="Arial" w:cs="Arial" w:eastAsia="Arial"/>
          <w:color w:val="1B2733"/>
          <w:sz w:val="19"/>
        </w:rPr>
        <w:t>initial workforce of approximately 20 employees ;</w:t>
      </w:r>
    </w:p>
    <w:p>
      <w:pPr>
        <w:pStyle w:val="ListBullet"/>
        <w:spacing w:before="0" w:after="60" w:line="293" w:lineRule="auto"/>
        <w:ind w:left="351" w:hanging="193"/>
      </w:pPr>
      <w:r>
        <w:rPr>
          <w:rFonts w:ascii="Arial" w:hAnsi="Arial" w:cs="Arial" w:eastAsia="Arial"/>
          <w:color w:val="1B2733"/>
          <w:sz w:val="19"/>
        </w:rPr>
        <w:t>potential construction of its own factory after 4-5 years;</w:t>
      </w:r>
    </w:p>
    <w:p>
      <w:pPr>
        <w:pStyle w:val="ListBullet"/>
        <w:spacing w:before="0" w:after="60" w:line="293" w:lineRule="auto"/>
        <w:ind w:left="351" w:hanging="193"/>
      </w:pPr>
      <w:r>
        <w:rPr>
          <w:rFonts w:ascii="Arial" w:hAnsi="Arial" w:cs="Arial" w:eastAsia="Arial"/>
          <w:color w:val="1B2733"/>
          <w:sz w:val="19"/>
        </w:rPr>
        <w:t>possible doubling of production-site scale. Nikkan Kogyo</w:t>
      </w:r>
    </w:p>
    <w:p>
      <w:pPr>
        <w:pStyle w:val="ListBullet"/>
        <w:spacing w:before="0" w:after="60" w:line="293" w:lineRule="auto"/>
        <w:ind w:left="351" w:hanging="193"/>
      </w:pPr>
      <w:r>
        <w:rPr>
          <w:rFonts w:ascii="Arial" w:hAnsi="Arial" w:cs="Arial" w:eastAsia="Arial"/>
          <w:color w:val="1B2733"/>
          <w:sz w:val="19"/>
        </w:rPr>
        <w:t>The reason given for the expansion was particularly important: the company's customers were globalising their supply chains. Thus the Vietnam expansion was not presented merely as a labour-cost arbitrage strategy. It was also intended to place Matsumoto Precision closer to customers' Southeast Asian production networks.</w:t>
      </w:r>
    </w:p>
    <w:p>
      <w:pPr>
        <w:spacing w:before="0" w:after="120" w:line="307" w:lineRule="auto"/>
      </w:pPr>
      <w:r>
        <w:rPr>
          <w:rFonts w:ascii="Arial" w:hAnsi="Arial" w:cs="Arial" w:eastAsia="Arial"/>
          <w:b w:val="0"/>
          <w:i w:val="0"/>
          <w:color w:val="1B2733"/>
          <w:sz w:val="19"/>
        </w:rPr>
        <w:t>Nikkan Kogyo</w:t>
      </w:r>
    </w:p>
    <w:p>
      <w:pPr>
        <w:pStyle w:val="Heading1"/>
        <w:keepNext/>
        <w:spacing w:before="280" w:after="60" w:line="252" w:lineRule="auto"/>
        <w:pBdr>
          <w:bottom w:val="single" w:sz="12" w:space="4" w:color="1F4E79"/>
        </w:pBdr>
      </w:pPr>
      <w:r>
        <w:rPr>
          <w:rFonts w:ascii="Arial" w:hAnsi="Arial" w:cs="Arial" w:eastAsia="Arial"/>
          <w:b/>
          <w:color w:val="1F4E79"/>
          <w:sz w:val="30"/>
        </w:rPr>
        <w:t>12. Vietnam Subsidiary - Current</w:t>
      </w:r>
    </w:p>
    <w:p>
      <w:pPr>
        <w:pStyle w:val="Heading1"/>
        <w:keepNext/>
        <w:spacing w:before="280" w:after="60" w:line="252" w:lineRule="auto"/>
        <w:pBdr>
          <w:bottom w:val="single" w:sz="12" w:space="4" w:color="1F4E79"/>
        </w:pBdr>
      </w:pPr>
      <w:r>
        <w:rPr>
          <w:rFonts w:ascii="Arial" w:hAnsi="Arial" w:cs="Arial" w:eastAsia="Arial"/>
          <w:b/>
          <w:color w:val="1F4E79"/>
          <w:sz w:val="30"/>
        </w:rPr>
        <w:t>Evidence</w:t>
      </w:r>
    </w:p>
    <w:p>
      <w:pPr>
        <w:spacing w:before="0" w:after="120" w:line="307" w:lineRule="auto"/>
      </w:pPr>
      <w:r>
        <w:rPr>
          <w:rFonts w:ascii="Arial" w:hAnsi="Arial" w:cs="Arial" w:eastAsia="Arial"/>
          <w:b w:val="0"/>
          <w:i w:val="0"/>
          <w:color w:val="1B2733"/>
          <w:sz w:val="19"/>
        </w:rPr>
        <w:t>The Japanese company currently lists: MATSUMOTO PRECISION VIETNAM CO., LTD. Established: 13 July 2022 Management:</w:t>
      </w:r>
    </w:p>
    <w:p>
      <w:pPr>
        <w:pStyle w:val="ListBullet"/>
        <w:spacing w:before="0" w:after="60" w:line="293" w:lineRule="auto"/>
        <w:ind w:left="351" w:hanging="193"/>
      </w:pPr>
      <w:r>
        <w:rPr>
          <w:rFonts w:ascii="Arial" w:hAnsi="Arial" w:cs="Arial" w:eastAsia="Arial"/>
          <w:color w:val="1B2733"/>
          <w:sz w:val="19"/>
        </w:rPr>
        <w:t>General Director - Toshitada Matsumoto</w:t>
      </w:r>
    </w:p>
    <w:p>
      <w:pPr>
        <w:pStyle w:val="ListBullet"/>
        <w:spacing w:before="0" w:after="60" w:line="293" w:lineRule="auto"/>
        <w:ind w:left="351" w:hanging="193"/>
      </w:pPr>
      <w:r>
        <w:rPr>
          <w:rFonts w:ascii="Arial" w:hAnsi="Arial" w:cs="Arial" w:eastAsia="Arial"/>
          <w:color w:val="1B2733"/>
          <w:sz w:val="19"/>
        </w:rPr>
        <w:t>Deputy General Director - Koki Inomata</w:t>
      </w:r>
    </w:p>
    <w:p>
      <w:pPr>
        <w:pStyle w:val="ListBullet"/>
        <w:spacing w:before="0" w:after="60" w:line="293" w:lineRule="auto"/>
        <w:ind w:left="351" w:hanging="193"/>
      </w:pPr>
      <w:r>
        <w:rPr>
          <w:rFonts w:ascii="Arial" w:hAnsi="Arial" w:cs="Arial" w:eastAsia="Arial"/>
          <w:color w:val="1B2733"/>
          <w:sz w:val="19"/>
        </w:rPr>
        <w:t>Activities:</w:t>
      </w:r>
    </w:p>
    <w:p>
      <w:pPr>
        <w:pStyle w:val="ListBullet"/>
        <w:spacing w:before="0" w:after="60" w:line="293" w:lineRule="auto"/>
        <w:ind w:left="351" w:hanging="193"/>
      </w:pPr>
      <w:r>
        <w:rPr>
          <w:rFonts w:ascii="Arial" w:hAnsi="Arial" w:cs="Arial" w:eastAsia="Arial"/>
          <w:color w:val="1B2733"/>
          <w:sz w:val="19"/>
        </w:rPr>
        <w:t>precision parts processing;</w:t>
      </w:r>
    </w:p>
    <w:p>
      <w:pPr>
        <w:pStyle w:val="ListBullet"/>
        <w:spacing w:before="0" w:after="60" w:line="293" w:lineRule="auto"/>
        <w:ind w:left="351" w:hanging="193"/>
      </w:pPr>
      <w:r>
        <w:rPr>
          <w:rFonts w:ascii="Arial" w:hAnsi="Arial" w:cs="Arial" w:eastAsia="Arial"/>
          <w:color w:val="1B2733"/>
          <w:sz w:val="19"/>
        </w:rPr>
        <w:t>cutting;</w:t>
      </w:r>
    </w:p>
    <w:p>
      <w:pPr>
        <w:pStyle w:val="ListBullet"/>
        <w:spacing w:before="0" w:after="60" w:line="293" w:lineRule="auto"/>
        <w:ind w:left="351" w:hanging="193"/>
      </w:pPr>
      <w:r>
        <w:rPr>
          <w:rFonts w:ascii="Arial" w:hAnsi="Arial" w:cs="Arial" w:eastAsia="Arial"/>
          <w:color w:val="1B2733"/>
          <w:sz w:val="19"/>
        </w:rPr>
        <w:t>machining;</w:t>
      </w:r>
    </w:p>
    <w:p>
      <w:pPr>
        <w:pStyle w:val="ListBullet"/>
        <w:spacing w:before="0" w:after="60" w:line="293" w:lineRule="auto"/>
        <w:ind w:left="351" w:hanging="193"/>
      </w:pPr>
      <w:r>
        <w:rPr>
          <w:rFonts w:ascii="Arial" w:hAnsi="Arial" w:cs="Arial" w:eastAsia="Arial"/>
          <w:color w:val="1B2733"/>
          <w:sz w:val="19"/>
        </w:rPr>
        <w:t>grinding. Matsumoto Precision This confirms that the Vietnam operation is not merely a planned project: a functioning subsidiary is publicly documented.</w:t>
      </w:r>
    </w:p>
    <w:p>
      <w:pPr>
        <w:pStyle w:val="Heading1"/>
        <w:keepNext/>
        <w:spacing w:before="280" w:after="60" w:line="252" w:lineRule="auto"/>
        <w:pBdr>
          <w:bottom w:val="single" w:sz="12" w:space="4" w:color="1F4E79"/>
        </w:pBdr>
      </w:pPr>
      <w:r>
        <w:rPr>
          <w:rFonts w:ascii="Arial" w:hAnsi="Arial" w:cs="Arial" w:eastAsia="Arial"/>
          <w:b/>
          <w:color w:val="1F4E79"/>
          <w:sz w:val="30"/>
        </w:rPr>
        <w:t>13. Related-Party and Intra-Group Risk</w:t>
      </w:r>
    </w:p>
    <w:p>
      <w:pPr>
        <w:spacing w:before="0" w:after="120" w:line="307" w:lineRule="auto"/>
      </w:pPr>
      <w:r>
        <w:rPr>
          <w:rFonts w:ascii="Arial" w:hAnsi="Arial" w:cs="Arial" w:eastAsia="Arial"/>
          <w:b w:val="0"/>
          <w:i w:val="0"/>
          <w:color w:val="1B2733"/>
          <w:sz w:val="19"/>
        </w:rPr>
        <w:t>The Vietnam operation also creates an important due-diligence issue. The Japanese parent and Vietnamese subsidiary are directly linked through management. Toshitada Matsumoto is:</w:t>
      </w:r>
    </w:p>
    <w:p>
      <w:pPr>
        <w:pStyle w:val="ListBullet"/>
        <w:spacing w:before="0" w:after="60" w:line="293" w:lineRule="auto"/>
        <w:ind w:left="351" w:hanging="193"/>
      </w:pPr>
      <w:r>
        <w:rPr>
          <w:rFonts w:ascii="Arial" w:hAnsi="Arial" w:cs="Arial" w:eastAsia="Arial"/>
          <w:color w:val="1B2733"/>
          <w:sz w:val="19"/>
        </w:rPr>
        <w:t>President of the Japanese company;</w:t>
      </w:r>
    </w:p>
    <w:p>
      <w:pPr>
        <w:pStyle w:val="ListBullet"/>
        <w:spacing w:before="0" w:after="60" w:line="293" w:lineRule="auto"/>
        <w:ind w:left="351" w:hanging="193"/>
      </w:pPr>
      <w:r>
        <w:rPr>
          <w:rFonts w:ascii="Arial" w:hAnsi="Arial" w:cs="Arial" w:eastAsia="Arial"/>
          <w:color w:val="1B2733"/>
          <w:sz w:val="19"/>
        </w:rPr>
        <w:t>General Director of the Vietnamese company. The public material therefore establishes direct management continuity across both entities.</w:t>
      </w:r>
    </w:p>
    <w:p>
      <w:pPr>
        <w:pStyle w:val="ListBullet"/>
        <w:spacing w:before="0" w:after="60" w:line="293" w:lineRule="auto"/>
        <w:ind w:left="351" w:hanging="193"/>
      </w:pPr>
      <w:r>
        <w:rPr>
          <w:rFonts w:ascii="Arial" w:hAnsi="Arial" w:cs="Arial" w:eastAsia="Arial"/>
          <w:color w:val="1B2733"/>
          <w:sz w:val="19"/>
        </w:rPr>
        <w:t>This creates an obvious area for deeper financial DD:</w:t>
      </w:r>
    </w:p>
    <w:p>
      <w:pPr>
        <w:pStyle w:val="ListBullet"/>
        <w:spacing w:before="0" w:after="60" w:line="293" w:lineRule="auto"/>
        <w:ind w:left="351" w:hanging="193"/>
      </w:pPr>
      <w:r>
        <w:rPr>
          <w:rFonts w:ascii="Arial" w:hAnsi="Arial" w:cs="Arial" w:eastAsia="Arial"/>
          <w:color w:val="1B2733"/>
          <w:sz w:val="19"/>
        </w:rPr>
        <w:t>intercompany pricing;</w:t>
      </w:r>
    </w:p>
    <w:p>
      <w:pPr>
        <w:pStyle w:val="ListBullet"/>
        <w:spacing w:before="0" w:after="60" w:line="293" w:lineRule="auto"/>
        <w:ind w:left="351" w:hanging="193"/>
      </w:pPr>
      <w:r>
        <w:rPr>
          <w:rFonts w:ascii="Arial" w:hAnsi="Arial" w:cs="Arial" w:eastAsia="Arial"/>
          <w:color w:val="1B2733"/>
          <w:sz w:val="19"/>
        </w:rPr>
        <w:t>transfer pricing;</w:t>
      </w:r>
    </w:p>
    <w:p>
      <w:pPr>
        <w:pStyle w:val="ListBullet"/>
        <w:spacing w:before="0" w:after="60" w:line="293" w:lineRule="auto"/>
        <w:ind w:left="351" w:hanging="193"/>
      </w:pPr>
      <w:r>
        <w:rPr>
          <w:rFonts w:ascii="Arial" w:hAnsi="Arial" w:cs="Arial" w:eastAsia="Arial"/>
          <w:color w:val="1B2733"/>
          <w:sz w:val="19"/>
        </w:rPr>
        <w:t>material transfers;</w:t>
      </w:r>
    </w:p>
    <w:p>
      <w:pPr>
        <w:pStyle w:val="ListBullet"/>
        <w:spacing w:before="0" w:after="60" w:line="293" w:lineRule="auto"/>
        <w:ind w:left="351" w:hanging="193"/>
      </w:pPr>
      <w:r>
        <w:rPr>
          <w:rFonts w:ascii="Arial" w:hAnsi="Arial" w:cs="Arial" w:eastAsia="Arial"/>
          <w:color w:val="1B2733"/>
          <w:sz w:val="19"/>
        </w:rPr>
        <w:t>inventory ownership;</w:t>
      </w:r>
    </w:p>
    <w:p>
      <w:pPr>
        <w:pStyle w:val="ListBullet"/>
        <w:spacing w:before="0" w:after="60" w:line="293" w:lineRule="auto"/>
        <w:ind w:left="351" w:hanging="193"/>
      </w:pPr>
      <w:r>
        <w:rPr>
          <w:rFonts w:ascii="Arial" w:hAnsi="Arial" w:cs="Arial" w:eastAsia="Arial"/>
          <w:color w:val="1B2733"/>
          <w:sz w:val="19"/>
        </w:rPr>
        <w:t>accounts receivable/payable;</w:t>
      </w:r>
    </w:p>
    <w:p>
      <w:pPr>
        <w:pStyle w:val="ListBullet"/>
        <w:spacing w:before="0" w:after="60" w:line="293" w:lineRule="auto"/>
        <w:ind w:left="351" w:hanging="193"/>
      </w:pPr>
      <w:r>
        <w:rPr>
          <w:rFonts w:ascii="Arial" w:hAnsi="Arial" w:cs="Arial" w:eastAsia="Arial"/>
          <w:color w:val="1B2733"/>
          <w:sz w:val="19"/>
        </w:rPr>
        <w:t>management fees;</w:t>
      </w:r>
    </w:p>
    <w:p>
      <w:pPr>
        <w:pStyle w:val="ListBullet"/>
        <w:spacing w:before="0" w:after="60" w:line="293" w:lineRule="auto"/>
        <w:ind w:left="351" w:hanging="193"/>
      </w:pPr>
      <w:r>
        <w:rPr>
          <w:rFonts w:ascii="Arial" w:hAnsi="Arial" w:cs="Arial" w:eastAsia="Arial"/>
          <w:color w:val="1B2733"/>
          <w:sz w:val="19"/>
        </w:rPr>
        <w:t>capital injections;</w:t>
      </w:r>
    </w:p>
    <w:p>
      <w:pPr>
        <w:pStyle w:val="ListBullet"/>
        <w:spacing w:before="0" w:after="60" w:line="293" w:lineRule="auto"/>
        <w:ind w:left="351" w:hanging="193"/>
      </w:pPr>
      <w:r>
        <w:rPr>
          <w:rFonts w:ascii="Arial" w:hAnsi="Arial" w:cs="Arial" w:eastAsia="Arial"/>
          <w:color w:val="1B2733"/>
          <w:sz w:val="19"/>
        </w:rPr>
        <w:t>FX exposure. Public sources do not disclose sufficient information to perform this analysis.</w:t>
      </w:r>
    </w:p>
    <w:p>
      <w:pPr>
        <w:pStyle w:val="ListBullet"/>
        <w:spacing w:before="0" w:after="60" w:line="293" w:lineRule="auto"/>
        <w:ind w:left="351" w:hanging="193"/>
      </w:pPr>
      <w:r>
        <w:rPr>
          <w:rFonts w:ascii="Arial" w:hAnsi="Arial" w:cs="Arial" w:eastAsia="Arial"/>
          <w:color w:val="1B2733"/>
          <w:sz w:val="19"/>
        </w:rPr>
        <w:t>Therefore: An intra-group relationship is demonstrable; its financial terms are not publicly established.</w:t>
      </w:r>
    </w:p>
    <w:p>
      <w:pPr>
        <w:pStyle w:val="Heading1"/>
        <w:keepNext/>
        <w:spacing w:before="280" w:after="60" w:line="252" w:lineRule="auto"/>
        <w:pBdr>
          <w:bottom w:val="single" w:sz="12" w:space="4" w:color="1F4E79"/>
        </w:pBdr>
      </w:pPr>
      <w:r>
        <w:rPr>
          <w:rFonts w:ascii="Arial" w:hAnsi="Arial" w:cs="Arial" w:eastAsia="Arial"/>
          <w:b/>
          <w:color w:val="1F4E79"/>
          <w:sz w:val="30"/>
        </w:rPr>
        <w:t>14. Historical JUKI Relationship</w:t>
      </w:r>
    </w:p>
    <w:p>
      <w:pPr>
        <w:spacing w:before="0" w:after="120" w:line="307" w:lineRule="auto"/>
      </w:pPr>
      <w:r>
        <w:rPr>
          <w:rFonts w:ascii="Arial" w:hAnsi="Arial" w:cs="Arial" w:eastAsia="Arial"/>
          <w:b w:val="0"/>
          <w:i w:val="0"/>
          <w:color w:val="1B2733"/>
          <w:sz w:val="19"/>
        </w:rPr>
        <w:t>The JUKI relationship deserves separate treatment. The company states that in 1972 it entered into a capital partnership with JUKI and joined the JUKI Group. Matsumoto Precision The Aizu Industry Network Forum continues to identify JUKI as one of Matsumoto Precision's major customers. Aizu Industry Network Forum However, the reviewed sources do not establish the current percentage of JUKI ownership. Therefore: Confirmed Historical capital relationship with JUKI. Confirmed JUKI remains a publicly identified major business customer. Not established Current JUKI shareholding. This distinction is essential. It would be incorrect to describe Matsumoto Precision today as a JUKI-owned company solely on the basis of the historical record.</w:t>
      </w:r>
    </w:p>
    <w:p>
      <w:pPr>
        <w:pStyle w:val="Heading1"/>
        <w:keepNext/>
        <w:spacing w:before="280" w:after="60" w:line="252" w:lineRule="auto"/>
        <w:pBdr>
          <w:bottom w:val="single" w:sz="12" w:space="4" w:color="1F4E79"/>
        </w:pBdr>
      </w:pPr>
      <w:r>
        <w:rPr>
          <w:rFonts w:ascii="Arial" w:hAnsi="Arial" w:cs="Arial" w:eastAsia="Arial"/>
          <w:b/>
          <w:color w:val="1F4E79"/>
          <w:sz w:val="30"/>
        </w:rPr>
        <w:t>15. SBIC Relationship</w:t>
      </w:r>
    </w:p>
    <w:p>
      <w:pPr>
        <w:spacing w:before="0" w:after="120" w:line="307" w:lineRule="auto"/>
      </w:pPr>
      <w:r>
        <w:rPr>
          <w:rFonts w:ascii="Arial" w:hAnsi="Arial" w:cs="Arial" w:eastAsia="Arial"/>
          <w:b w:val="0"/>
          <w:i w:val="0"/>
          <w:color w:val="1B2733"/>
          <w:sz w:val="19"/>
        </w:rPr>
        <w:t>Matsumoto Precision also appears within the investment universe of the Tokyo Small and Medium Business Investment &amp; Consultation Co., Ltd. (SBIC) . SBIC describes its investment system as providing long-term stable shareholders to SMEs and supporting capital strengthening and succession. SBIC This is potentially important for capital structure. However, the reviewed public material does not establish:</w:t>
      </w:r>
    </w:p>
    <w:p>
      <w:pPr>
        <w:pStyle w:val="ListBullet"/>
        <w:spacing w:before="0" w:after="60" w:line="293" w:lineRule="auto"/>
        <w:ind w:left="351" w:hanging="193"/>
      </w:pPr>
      <w:r>
        <w:rPr>
          <w:rFonts w:ascii="Arial" w:hAnsi="Arial" w:cs="Arial" w:eastAsia="Arial"/>
          <w:color w:val="1B2733"/>
          <w:sz w:val="19"/>
        </w:rPr>
        <w:t>SBIC's current percentage;</w:t>
      </w:r>
    </w:p>
    <w:p>
      <w:pPr>
        <w:pStyle w:val="ListBullet"/>
        <w:spacing w:before="0" w:after="60" w:line="293" w:lineRule="auto"/>
        <w:ind w:left="351" w:hanging="193"/>
      </w:pPr>
      <w:r>
        <w:rPr>
          <w:rFonts w:ascii="Arial" w:hAnsi="Arial" w:cs="Arial" w:eastAsia="Arial"/>
          <w:color w:val="1B2733"/>
          <w:sz w:val="19"/>
        </w:rPr>
        <w:t>investment date;</w:t>
      </w:r>
    </w:p>
    <w:p>
      <w:pPr>
        <w:pStyle w:val="ListBullet"/>
        <w:spacing w:before="0" w:after="60" w:line="293" w:lineRule="auto"/>
        <w:ind w:left="351" w:hanging="193"/>
      </w:pPr>
      <w:r>
        <w:rPr>
          <w:rFonts w:ascii="Arial" w:hAnsi="Arial" w:cs="Arial" w:eastAsia="Arial"/>
          <w:color w:val="1B2733"/>
          <w:sz w:val="19"/>
        </w:rPr>
        <w:t>investment price;</w:t>
      </w:r>
    </w:p>
    <w:p>
      <w:pPr>
        <w:pStyle w:val="ListBullet"/>
        <w:spacing w:before="0" w:after="60" w:line="293" w:lineRule="auto"/>
        <w:ind w:left="351" w:hanging="193"/>
      </w:pPr>
      <w:r>
        <w:rPr>
          <w:rFonts w:ascii="Arial" w:hAnsi="Arial" w:cs="Arial" w:eastAsia="Arial"/>
          <w:color w:val="1B2733"/>
          <w:sz w:val="19"/>
        </w:rPr>
        <w:t>voting rights;</w:t>
      </w:r>
    </w:p>
    <w:p>
      <w:pPr>
        <w:pStyle w:val="ListBullet"/>
        <w:spacing w:before="0" w:after="60" w:line="293" w:lineRule="auto"/>
        <w:ind w:left="351" w:hanging="193"/>
      </w:pPr>
      <w:r>
        <w:rPr>
          <w:rFonts w:ascii="Arial" w:hAnsi="Arial" w:cs="Arial" w:eastAsia="Arial"/>
          <w:color w:val="1B2733"/>
          <w:sz w:val="19"/>
        </w:rPr>
        <w:t>whether the investment remains outstanding.</w:t>
      </w:r>
    </w:p>
    <w:p>
      <w:pPr>
        <w:pStyle w:val="ListBullet"/>
        <w:spacing w:before="0" w:after="60" w:line="293" w:lineRule="auto"/>
        <w:ind w:left="351" w:hanging="193"/>
      </w:pPr>
      <w:r>
        <w:rPr>
          <w:rFonts w:ascii="Arial" w:hAnsi="Arial" w:cs="Arial" w:eastAsia="Arial"/>
          <w:color w:val="1B2733"/>
          <w:sz w:val="19"/>
        </w:rPr>
        <w:t>Therefore, the appropriate conclusion is simply: A relationship with SBIC is publicly indicated, but its current quantitative ownership significance cannot be established.</w:t>
      </w:r>
    </w:p>
    <w:p>
      <w:pPr>
        <w:pStyle w:val="Heading1"/>
        <w:keepNext/>
        <w:spacing w:before="280" w:after="60" w:line="252" w:lineRule="auto"/>
        <w:pBdr>
          <w:bottom w:val="single" w:sz="12" w:space="4" w:color="1F4E79"/>
        </w:pBdr>
      </w:pPr>
      <w:r>
        <w:rPr>
          <w:rFonts w:ascii="Arial" w:hAnsi="Arial" w:cs="Arial" w:eastAsia="Arial"/>
          <w:b/>
          <w:color w:val="1F4E79"/>
          <w:sz w:val="30"/>
        </w:rPr>
        <w:t>16. Operational Shock: Flood and Fire in</w:t>
      </w:r>
    </w:p>
    <w:p>
      <w:pPr>
        <w:pStyle w:val="Heading1"/>
        <w:keepNext/>
        <w:spacing w:before="280" w:after="60" w:line="252" w:lineRule="auto"/>
        <w:pBdr>
          <w:bottom w:val="single" w:sz="12" w:space="4" w:color="1F4E79"/>
        </w:pBdr>
      </w:pPr>
      <w:r>
        <w:rPr>
          <w:rFonts w:ascii="Arial" w:hAnsi="Arial" w:cs="Arial" w:eastAsia="Arial"/>
          <w:b/>
          <w:color w:val="1F4E79"/>
          <w:sz w:val="30"/>
        </w:rPr>
        <w:t>2022</w:t>
      </w:r>
    </w:p>
    <w:p>
      <w:pPr>
        <w:spacing w:before="0" w:after="120" w:line="307" w:lineRule="auto"/>
      </w:pPr>
      <w:r>
        <w:rPr>
          <w:rFonts w:ascii="Arial" w:hAnsi="Arial" w:cs="Arial" w:eastAsia="Arial"/>
          <w:b w:val="0"/>
          <w:i w:val="0"/>
          <w:color w:val="1B2733"/>
          <w:sz w:val="19"/>
        </w:rPr>
        <w:t>A significant negative event exists in the public record. Matsumoto Precision experienced a flood and factory fire in 2022 . The subsequent Aizu Industry Network Forum material describes the event and the physical consequences at the factory. The company subsequently reviewed its BCP and used the experience as a case study for other manufacturers. This is important because it provides evidence that the company's BCP programme was at least partly a response to an actual operational disruption rather than purely a formal compliance exercise. What is established</w:t>
      </w:r>
    </w:p>
    <w:p>
      <w:pPr>
        <w:pStyle w:val="ListBullet"/>
        <w:spacing w:before="0" w:after="60" w:line="293" w:lineRule="auto"/>
        <w:ind w:left="351" w:hanging="193"/>
      </w:pPr>
      <w:r>
        <w:rPr>
          <w:rFonts w:ascii="Arial" w:hAnsi="Arial" w:cs="Arial" w:eastAsia="Arial"/>
          <w:color w:val="1B2733"/>
          <w:sz w:val="19"/>
        </w:rPr>
        <w:t>flood occurred;</w:t>
      </w:r>
    </w:p>
    <w:p>
      <w:pPr>
        <w:pStyle w:val="ListBullet"/>
        <w:spacing w:before="0" w:after="60" w:line="293" w:lineRule="auto"/>
        <w:ind w:left="351" w:hanging="193"/>
      </w:pPr>
      <w:r>
        <w:rPr>
          <w:rFonts w:ascii="Arial" w:hAnsi="Arial" w:cs="Arial" w:eastAsia="Arial"/>
          <w:color w:val="1B2733"/>
          <w:sz w:val="19"/>
        </w:rPr>
        <w:t>fire occurred;</w:t>
      </w:r>
    </w:p>
    <w:p>
      <w:pPr>
        <w:pStyle w:val="ListBullet"/>
        <w:spacing w:before="0" w:after="60" w:line="293" w:lineRule="auto"/>
        <w:ind w:left="351" w:hanging="193"/>
      </w:pPr>
      <w:r>
        <w:rPr>
          <w:rFonts w:ascii="Arial" w:hAnsi="Arial" w:cs="Arial" w:eastAsia="Arial"/>
          <w:color w:val="1B2733"/>
          <w:sz w:val="19"/>
        </w:rPr>
        <w:t>the company subsequently addressed BCP;</w:t>
      </w:r>
    </w:p>
    <w:p>
      <w:pPr>
        <w:pStyle w:val="ListBullet"/>
        <w:spacing w:before="0" w:after="60" w:line="293" w:lineRule="auto"/>
        <w:ind w:left="351" w:hanging="193"/>
      </w:pPr>
      <w:r>
        <w:rPr>
          <w:rFonts w:ascii="Arial" w:hAnsi="Arial" w:cs="Arial" w:eastAsia="Arial"/>
          <w:color w:val="1B2733"/>
          <w:sz w:val="19"/>
        </w:rPr>
        <w:t>the event was sufficiently material to be discussed publicly. What remains unknown</w:t>
      </w:r>
    </w:p>
    <w:p>
      <w:pPr>
        <w:pStyle w:val="ListBullet"/>
        <w:spacing w:before="0" w:after="60" w:line="293" w:lineRule="auto"/>
        <w:ind w:left="351" w:hanging="193"/>
      </w:pPr>
      <w:r>
        <w:rPr>
          <w:rFonts w:ascii="Arial" w:hAnsi="Arial" w:cs="Arial" w:eastAsia="Arial"/>
          <w:color w:val="1B2733"/>
          <w:sz w:val="19"/>
        </w:rPr>
        <w:t>total damage;</w:t>
      </w:r>
    </w:p>
    <w:p>
      <w:pPr>
        <w:pStyle w:val="ListBullet"/>
        <w:spacing w:before="0" w:after="60" w:line="293" w:lineRule="auto"/>
        <w:ind w:left="351" w:hanging="193"/>
      </w:pPr>
      <w:r>
        <w:rPr>
          <w:rFonts w:ascii="Arial" w:hAnsi="Arial" w:cs="Arial" w:eastAsia="Arial"/>
          <w:color w:val="1B2733"/>
          <w:sz w:val="19"/>
        </w:rPr>
        <w:t>lost production;</w:t>
      </w:r>
    </w:p>
    <w:p>
      <w:pPr>
        <w:pStyle w:val="ListBullet"/>
        <w:spacing w:before="0" w:after="60" w:line="293" w:lineRule="auto"/>
        <w:ind w:left="351" w:hanging="193"/>
      </w:pPr>
      <w:r>
        <w:rPr>
          <w:rFonts w:ascii="Arial" w:hAnsi="Arial" w:cs="Arial" w:eastAsia="Arial"/>
          <w:color w:val="1B2733"/>
          <w:sz w:val="19"/>
        </w:rPr>
        <w:t>insurance recovery;</w:t>
      </w:r>
    </w:p>
    <w:p>
      <w:pPr>
        <w:pStyle w:val="ListBullet"/>
        <w:spacing w:before="0" w:after="60" w:line="293" w:lineRule="auto"/>
        <w:ind w:left="351" w:hanging="193"/>
      </w:pPr>
      <w:r>
        <w:rPr>
          <w:rFonts w:ascii="Arial" w:hAnsi="Arial" w:cs="Arial" w:eastAsia="Arial"/>
          <w:color w:val="1B2733"/>
          <w:sz w:val="19"/>
        </w:rPr>
        <w:t>repair costs;</w:t>
      </w:r>
    </w:p>
    <w:p>
      <w:pPr>
        <w:pStyle w:val="ListBullet"/>
        <w:spacing w:before="0" w:after="60" w:line="293" w:lineRule="auto"/>
        <w:ind w:left="351" w:hanging="193"/>
      </w:pPr>
      <w:r>
        <w:rPr>
          <w:rFonts w:ascii="Arial" w:hAnsi="Arial" w:cs="Arial" w:eastAsia="Arial"/>
          <w:color w:val="1B2733"/>
          <w:sz w:val="19"/>
        </w:rPr>
        <w:t>equipment replacement;</w:t>
      </w:r>
    </w:p>
    <w:p>
      <w:pPr>
        <w:pStyle w:val="ListBullet"/>
        <w:spacing w:before="0" w:after="60" w:line="293" w:lineRule="auto"/>
        <w:ind w:left="351" w:hanging="193"/>
      </w:pPr>
      <w:r>
        <w:rPr>
          <w:rFonts w:ascii="Arial" w:hAnsi="Arial" w:cs="Arial" w:eastAsia="Arial"/>
          <w:color w:val="1B2733"/>
          <w:sz w:val="19"/>
        </w:rPr>
        <w:t>revenue impact;</w:t>
      </w:r>
    </w:p>
    <w:p>
      <w:pPr>
        <w:pStyle w:val="ListBullet"/>
        <w:spacing w:before="0" w:after="60" w:line="293" w:lineRule="auto"/>
        <w:ind w:left="351" w:hanging="193"/>
      </w:pPr>
      <w:r>
        <w:rPr>
          <w:rFonts w:ascii="Arial" w:hAnsi="Arial" w:cs="Arial" w:eastAsia="Arial"/>
          <w:color w:val="1B2733"/>
          <w:sz w:val="19"/>
        </w:rPr>
        <w:t>effect on FY2022/FY2023 profitability. Consequently, the event should be recorded as a confirmed operational risk event , but not as evidence of financial distress.</w:t>
      </w:r>
    </w:p>
    <w:p>
      <w:pPr>
        <w:pStyle w:val="Heading1"/>
        <w:keepNext/>
        <w:spacing w:before="280" w:after="60" w:line="252" w:lineRule="auto"/>
        <w:pBdr>
          <w:bottom w:val="single" w:sz="12" w:space="4" w:color="1F4E79"/>
        </w:pBdr>
      </w:pPr>
      <w:r>
        <w:rPr>
          <w:rFonts w:ascii="Arial" w:hAnsi="Arial" w:cs="Arial" w:eastAsia="Arial"/>
          <w:b/>
          <w:color w:val="1F4E79"/>
          <w:sz w:val="30"/>
        </w:rPr>
        <w:t>17. Legal and Regulatory Screening</w:t>
      </w:r>
    </w:p>
    <w:p>
      <w:pPr>
        <w:spacing w:before="0" w:after="120" w:line="307" w:lineRule="auto"/>
      </w:pPr>
      <w:r>
        <w:rPr>
          <w:rFonts w:ascii="Arial" w:hAnsi="Arial" w:cs="Arial" w:eastAsia="Arial"/>
          <w:b w:val="0"/>
          <w:i w:val="0"/>
          <w:color w:val="1B2733"/>
          <w:sz w:val="19"/>
        </w:rPr>
        <w:t>The legal search did not identify a material public enforcement or insolvency signal in the sources reviewed. Government corporate data confirms that the legal entity remains active. Gビズインフォ( METI )経済産業省Secondary corporate databases reviewed during the investigation do not currently list public law violations, administrative sanctions or bankruptcy information for the company.全国企業データベース-プレスリリース配信サービスHowever, this evidence has limitations. The absence of a result in general-purpose corporate databases is not equivalent to a comprehensive litigation search . In particular, it does not establish that:</w:t>
      </w:r>
    </w:p>
    <w:p>
      <w:pPr>
        <w:pStyle w:val="ListBullet"/>
        <w:spacing w:before="0" w:after="60" w:line="293" w:lineRule="auto"/>
        <w:ind w:left="351" w:hanging="193"/>
      </w:pPr>
      <w:r>
        <w:rPr>
          <w:rFonts w:ascii="Arial" w:hAnsi="Arial" w:cs="Arial" w:eastAsia="Arial"/>
          <w:color w:val="1B2733"/>
          <w:sz w:val="19"/>
        </w:rPr>
        <w:t>no civil litigation has ever existed;</w:t>
      </w:r>
    </w:p>
    <w:p>
      <w:pPr>
        <w:pStyle w:val="ListBullet"/>
        <w:spacing w:before="0" w:after="60" w:line="293" w:lineRule="auto"/>
        <w:ind w:left="351" w:hanging="193"/>
      </w:pPr>
      <w:r>
        <w:rPr>
          <w:rFonts w:ascii="Arial" w:hAnsi="Arial" w:cs="Arial" w:eastAsia="Arial"/>
          <w:color w:val="1B2733"/>
          <w:sz w:val="19"/>
        </w:rPr>
        <w:t>no employment disputes have occurred;</w:t>
      </w:r>
    </w:p>
    <w:p>
      <w:pPr>
        <w:pStyle w:val="ListBullet"/>
        <w:spacing w:before="0" w:after="60" w:line="293" w:lineRule="auto"/>
        <w:ind w:left="351" w:hanging="193"/>
      </w:pPr>
      <w:r>
        <w:rPr>
          <w:rFonts w:ascii="Arial" w:hAnsi="Arial" w:cs="Arial" w:eastAsia="Arial"/>
          <w:color w:val="1B2733"/>
          <w:sz w:val="19"/>
        </w:rPr>
        <w:t>no contractual disputes exist;</w:t>
      </w:r>
    </w:p>
    <w:p>
      <w:pPr>
        <w:pStyle w:val="ListBullet"/>
        <w:spacing w:before="0" w:after="60" w:line="293" w:lineRule="auto"/>
        <w:ind w:left="351" w:hanging="193"/>
      </w:pPr>
      <w:r>
        <w:rPr>
          <w:rFonts w:ascii="Arial" w:hAnsi="Arial" w:cs="Arial" w:eastAsia="Arial"/>
          <w:color w:val="1B2733"/>
          <w:sz w:val="19"/>
        </w:rPr>
        <w:t>no tax disputes exist;</w:t>
      </w:r>
    </w:p>
    <w:p>
      <w:pPr>
        <w:pStyle w:val="ListBullet"/>
        <w:spacing w:before="0" w:after="60" w:line="293" w:lineRule="auto"/>
        <w:ind w:left="351" w:hanging="193"/>
      </w:pPr>
      <w:r>
        <w:rPr>
          <w:rFonts w:ascii="Arial" w:hAnsi="Arial" w:cs="Arial" w:eastAsia="Arial"/>
          <w:color w:val="1B2733"/>
          <w:sz w:val="19"/>
        </w:rPr>
        <w:t>no confidential settlement exists.</w:t>
      </w:r>
    </w:p>
    <w:p>
      <w:pPr>
        <w:pStyle w:val="ListBullet"/>
        <w:spacing w:before="0" w:after="60" w:line="293" w:lineRule="auto"/>
        <w:ind w:left="351" w:hanging="193"/>
      </w:pPr>
      <w:r>
        <w:rPr>
          <w:rFonts w:ascii="Arial" w:hAnsi="Arial" w:cs="Arial" w:eastAsia="Arial"/>
          <w:color w:val="1B2733"/>
          <w:sz w:val="19"/>
        </w:rPr>
        <w:t>The appropriate DD conclusion is therefore: No material adverse legal or insolvency signal was identified in the reviewed public sources, but the public record is insufficient to certify the absence of all litigation or disputes.</w:t>
      </w:r>
    </w:p>
    <w:p>
      <w:pPr>
        <w:pStyle w:val="Heading1"/>
        <w:keepNext/>
        <w:spacing w:before="280" w:after="60" w:line="252" w:lineRule="auto"/>
        <w:pBdr>
          <w:bottom w:val="single" w:sz="12" w:space="4" w:color="1F4E79"/>
        </w:pBdr>
      </w:pPr>
      <w:r>
        <w:rPr>
          <w:rFonts w:ascii="Arial" w:hAnsi="Arial" w:cs="Arial" w:eastAsia="Arial"/>
          <w:b/>
          <w:color w:val="1F4E79"/>
          <w:sz w:val="30"/>
        </w:rPr>
        <w:t>18. Geographic Concentration</w:t>
      </w:r>
    </w:p>
    <w:p>
      <w:pPr>
        <w:spacing w:before="0" w:after="120" w:line="307" w:lineRule="auto"/>
      </w:pPr>
      <w:r>
        <w:rPr>
          <w:rFonts w:ascii="Arial" w:hAnsi="Arial" w:cs="Arial" w:eastAsia="Arial"/>
          <w:b w:val="0"/>
          <w:i w:val="0"/>
          <w:color w:val="1B2733"/>
          <w:sz w:val="19"/>
        </w:rPr>
        <w:t>The Japanese production base remains heavily concentrated in: Kitakata / Fukushima Prefecture. This creates a structural operational risk. The 2022 flood/fire incident demonstrates that this is not merely theoretical. At the same time, Vietnam provides a second geographic production location. Therefore the company's geographic configuration can be described as: Historically concentrated Japan manufacturing base</w:t>
      </w:r>
    </w:p>
    <w:p>
      <w:pPr>
        <w:pStyle w:val="ListBullet"/>
        <w:spacing w:before="0" w:after="60" w:line="293" w:lineRule="auto"/>
        <w:ind w:left="351" w:hanging="193"/>
      </w:pPr>
      <w:r>
        <w:rPr>
          <w:rFonts w:ascii="Arial" w:hAnsi="Arial" w:cs="Arial" w:eastAsia="Arial"/>
          <w:color w:val="1B2733"/>
          <w:sz w:val="19"/>
        </w:rPr>
        <w:t>newer Vietnam manufacturing diversification. This is potentially beneficial for supply-chain resilience, although Vietnam's dependence on the Japanese parent means that geographic diversification does not automatically equal commercial independence.</w:t>
      </w:r>
    </w:p>
    <w:p>
      <w:pPr>
        <w:pStyle w:val="Heading1"/>
        <w:keepNext/>
        <w:spacing w:before="280" w:after="60" w:line="252" w:lineRule="auto"/>
        <w:pBdr>
          <w:bottom w:val="single" w:sz="12" w:space="4" w:color="1F4E79"/>
        </w:pBdr>
      </w:pPr>
      <w:r>
        <w:rPr>
          <w:rFonts w:ascii="Arial" w:hAnsi="Arial" w:cs="Arial" w:eastAsia="Arial"/>
          <w:b/>
          <w:color w:val="1F4E79"/>
          <w:sz w:val="30"/>
        </w:rPr>
        <w:t>19. Succession Risk</w:t>
      </w:r>
    </w:p>
    <w:p>
      <w:pPr>
        <w:spacing w:before="0" w:after="120" w:line="307" w:lineRule="auto"/>
      </w:pPr>
      <w:r>
        <w:rPr>
          <w:rFonts w:ascii="Arial" w:hAnsi="Arial" w:cs="Arial" w:eastAsia="Arial"/>
          <w:b w:val="0"/>
          <w:i w:val="0"/>
          <w:color w:val="1B2733"/>
          <w:sz w:val="19"/>
        </w:rPr>
        <w:t>Succession is a central issue for a privately held Japanese SME. The company has already completed one significant succession: Eiji Matsumoto → Toshitada Matsumoto The transition occurred in 2017 after Toshitada joined the company in 2014. The Japanese government specifically uses Matsumoto Precision as a case study of business succession. Japan's Ministry of Economy, Trade and Industry (METI) This is evidence that succession has been actively managed. However, the next succession horizon is not publicly established. There is insufficient public information concerning:</w:t>
      </w:r>
    </w:p>
    <w:p>
      <w:pPr>
        <w:pStyle w:val="ListBullet"/>
        <w:spacing w:before="0" w:after="60" w:line="293" w:lineRule="auto"/>
        <w:ind w:left="351" w:hanging="193"/>
      </w:pPr>
      <w:r>
        <w:rPr>
          <w:rFonts w:ascii="Arial" w:hAnsi="Arial" w:cs="Arial" w:eastAsia="Arial"/>
          <w:color w:val="1B2733"/>
          <w:sz w:val="19"/>
        </w:rPr>
        <w:t>next-generation successor;</w:t>
      </w:r>
    </w:p>
    <w:p>
      <w:pPr>
        <w:pStyle w:val="ListBullet"/>
        <w:spacing w:before="0" w:after="60" w:line="293" w:lineRule="auto"/>
        <w:ind w:left="351" w:hanging="193"/>
      </w:pPr>
      <w:r>
        <w:rPr>
          <w:rFonts w:ascii="Arial" w:hAnsi="Arial" w:cs="Arial" w:eastAsia="Arial"/>
          <w:color w:val="1B2733"/>
          <w:sz w:val="19"/>
        </w:rPr>
        <w:t>ownership transfer schedule;</w:t>
      </w:r>
    </w:p>
    <w:p>
      <w:pPr>
        <w:pStyle w:val="ListBullet"/>
        <w:spacing w:before="0" w:after="60" w:line="293" w:lineRule="auto"/>
        <w:ind w:left="351" w:hanging="193"/>
      </w:pPr>
      <w:r>
        <w:rPr>
          <w:rFonts w:ascii="Arial" w:hAnsi="Arial" w:cs="Arial" w:eastAsia="Arial"/>
          <w:color w:val="1B2733"/>
          <w:sz w:val="19"/>
        </w:rPr>
        <w:t>voting structure;</w:t>
      </w:r>
    </w:p>
    <w:p>
      <w:pPr>
        <w:pStyle w:val="ListBullet"/>
        <w:spacing w:before="0" w:after="60" w:line="293" w:lineRule="auto"/>
        <w:ind w:left="351" w:hanging="193"/>
      </w:pPr>
      <w:r>
        <w:rPr>
          <w:rFonts w:ascii="Arial" w:hAnsi="Arial" w:cs="Arial" w:eastAsia="Arial"/>
          <w:color w:val="1B2733"/>
          <w:sz w:val="19"/>
        </w:rPr>
        <w:t>family shareholding;</w:t>
      </w:r>
    </w:p>
    <w:p>
      <w:pPr>
        <w:pStyle w:val="ListBullet"/>
        <w:spacing w:before="0" w:after="60" w:line="293" w:lineRule="auto"/>
        <w:ind w:left="351" w:hanging="193"/>
      </w:pPr>
      <w:r>
        <w:rPr>
          <w:rFonts w:ascii="Arial" w:hAnsi="Arial" w:cs="Arial" w:eastAsia="Arial"/>
          <w:color w:val="1B2733"/>
          <w:sz w:val="19"/>
        </w:rPr>
        <w:t>management succession plan after Toshitada Matsumoto. Thus succession risk has been addressed historically , but cannot be regarded as fully resolved on the basis of public information.</w:t>
      </w:r>
    </w:p>
    <w:p>
      <w:pPr>
        <w:pStyle w:val="Heading1"/>
        <w:keepNext/>
        <w:spacing w:before="280" w:after="60" w:line="252" w:lineRule="auto"/>
        <w:pBdr>
          <w:bottom w:val="single" w:sz="12" w:space="4" w:color="1F4E79"/>
        </w:pBdr>
      </w:pPr>
      <w:r>
        <w:rPr>
          <w:rFonts w:ascii="Arial" w:hAnsi="Arial" w:cs="Arial" w:eastAsia="Arial"/>
          <w:b/>
          <w:color w:val="1F4E79"/>
          <w:sz w:val="30"/>
        </w:rPr>
        <w:t>20. Human Capital</w:t>
      </w:r>
    </w:p>
    <w:p>
      <w:pPr>
        <w:spacing w:before="0" w:after="120" w:line="307" w:lineRule="auto"/>
      </w:pPr>
      <w:r>
        <w:rPr>
          <w:rFonts w:ascii="Arial" w:hAnsi="Arial" w:cs="Arial" w:eastAsia="Arial"/>
          <w:b w:val="0"/>
          <w:i w:val="0"/>
          <w:color w:val="1B2733"/>
          <w:sz w:val="19"/>
        </w:rPr>
        <w:t>The government case study identifies labour availability as a strategic concern. Kitakata has a population of roughly 40,000, and management explicitly viewed securing employees over the long term as a major challenge. Japan's Ministry of Economy, Trade and Industry (METI) The company has responded through:</w:t>
      </w:r>
    </w:p>
    <w:p>
      <w:pPr>
        <w:pStyle w:val="ListBullet"/>
        <w:spacing w:before="0" w:after="60" w:line="293" w:lineRule="auto"/>
        <w:ind w:left="351" w:hanging="193"/>
      </w:pPr>
      <w:r>
        <w:rPr>
          <w:rFonts w:ascii="Arial" w:hAnsi="Arial" w:cs="Arial" w:eastAsia="Arial"/>
          <w:color w:val="1B2733"/>
          <w:sz w:val="19"/>
        </w:rPr>
        <w:t>wage improvement;</w:t>
      </w:r>
    </w:p>
    <w:p>
      <w:pPr>
        <w:pStyle w:val="ListBullet"/>
        <w:spacing w:before="0" w:after="60" w:line="293" w:lineRule="auto"/>
        <w:ind w:left="351" w:hanging="193"/>
      </w:pPr>
      <w:r>
        <w:rPr>
          <w:rFonts w:ascii="Arial" w:hAnsi="Arial" w:cs="Arial" w:eastAsia="Arial"/>
          <w:color w:val="1B2733"/>
          <w:sz w:val="19"/>
        </w:rPr>
        <w:t>DX;</w:t>
      </w:r>
    </w:p>
    <w:p>
      <w:pPr>
        <w:pStyle w:val="ListBullet"/>
        <w:spacing w:before="0" w:after="60" w:line="293" w:lineRule="auto"/>
        <w:ind w:left="351" w:hanging="193"/>
      </w:pPr>
      <w:r>
        <w:rPr>
          <w:rFonts w:ascii="Arial" w:hAnsi="Arial" w:cs="Arial" w:eastAsia="Arial"/>
          <w:color w:val="1B2733"/>
          <w:sz w:val="19"/>
        </w:rPr>
        <w:t>recruitment of foreign workers;</w:t>
      </w:r>
    </w:p>
    <w:p>
      <w:pPr>
        <w:pStyle w:val="ListBullet"/>
        <w:spacing w:before="0" w:after="60" w:line="293" w:lineRule="auto"/>
        <w:ind w:left="351" w:hanging="193"/>
      </w:pPr>
      <w:r>
        <w:rPr>
          <w:rFonts w:ascii="Arial" w:hAnsi="Arial" w:cs="Arial" w:eastAsia="Arial"/>
          <w:color w:val="1B2733"/>
          <w:sz w:val="19"/>
        </w:rPr>
        <w:t>Vietnam operations;</w:t>
      </w:r>
    </w:p>
    <w:p>
      <w:pPr>
        <w:pStyle w:val="ListBullet"/>
        <w:spacing w:before="0" w:after="60" w:line="293" w:lineRule="auto"/>
        <w:ind w:left="351" w:hanging="193"/>
      </w:pPr>
      <w:r>
        <w:rPr>
          <w:rFonts w:ascii="Arial" w:hAnsi="Arial" w:cs="Arial" w:eastAsia="Arial"/>
          <w:color w:val="1B2733"/>
          <w:sz w:val="19"/>
        </w:rPr>
        <w:t>productivity improvements;</w:t>
      </w:r>
    </w:p>
    <w:p>
      <w:pPr>
        <w:pStyle w:val="ListBullet"/>
        <w:spacing w:before="0" w:after="60" w:line="293" w:lineRule="auto"/>
        <w:ind w:left="351" w:hanging="193"/>
      </w:pPr>
      <w:r>
        <w:rPr>
          <w:rFonts w:ascii="Arial" w:hAnsi="Arial" w:cs="Arial" w:eastAsia="Arial"/>
          <w:color w:val="1B2733"/>
          <w:sz w:val="19"/>
        </w:rPr>
        <w:t>automation;</w:t>
      </w:r>
    </w:p>
    <w:p>
      <w:pPr>
        <w:pStyle w:val="ListBullet"/>
        <w:spacing w:before="0" w:after="60" w:line="293" w:lineRule="auto"/>
        <w:ind w:left="351" w:hanging="193"/>
      </w:pPr>
      <w:r>
        <w:rPr>
          <w:rFonts w:ascii="Arial" w:hAnsi="Arial" w:cs="Arial" w:eastAsia="Arial"/>
          <w:color w:val="1B2733"/>
          <w:sz w:val="19"/>
        </w:rPr>
        <w:t>factory branding. Its current corporate materials also emphasise employee disposable income and productivity as explicit management objectives. Matsumoto Precision The employee count of 157 in June 2026 provides evidence that the company continues to maintain a substantial workforce. Matsumoto Precision</w:t>
      </w:r>
    </w:p>
    <w:p>
      <w:pPr>
        <w:spacing w:before="0" w:after="120" w:line="307" w:lineRule="auto"/>
      </w:pPr>
      <w:r>
        <w:rPr>
          <w:rFonts w:ascii="Arial" w:hAnsi="Arial" w:cs="Arial" w:eastAsia="Arial"/>
          <w:b w:val="0"/>
          <w:i w:val="0"/>
          <w:color w:val="1B2733"/>
          <w:sz w:val="19"/>
        </w:rPr>
        <w:t>But the public sources do not provide:</w:t>
      </w:r>
    </w:p>
    <w:p>
      <w:pPr>
        <w:pStyle w:val="ListBullet"/>
        <w:spacing w:before="0" w:after="60" w:line="293" w:lineRule="auto"/>
        <w:ind w:left="351" w:hanging="193"/>
      </w:pPr>
      <w:r>
        <w:rPr>
          <w:rFonts w:ascii="Arial" w:hAnsi="Arial" w:cs="Arial" w:eastAsia="Arial"/>
          <w:color w:val="1B2733"/>
          <w:sz w:val="19"/>
        </w:rPr>
        <w:t>employee turnover;</w:t>
      </w:r>
    </w:p>
    <w:p>
      <w:pPr>
        <w:pStyle w:val="ListBullet"/>
        <w:spacing w:before="0" w:after="60" w:line="293" w:lineRule="auto"/>
        <w:ind w:left="351" w:hanging="193"/>
      </w:pPr>
      <w:r>
        <w:rPr>
          <w:rFonts w:ascii="Arial" w:hAnsi="Arial" w:cs="Arial" w:eastAsia="Arial"/>
          <w:color w:val="1B2733"/>
          <w:sz w:val="19"/>
        </w:rPr>
        <w:t>absenteeism;</w:t>
      </w:r>
    </w:p>
    <w:p>
      <w:pPr>
        <w:pStyle w:val="ListBullet"/>
        <w:spacing w:before="0" w:after="60" w:line="293" w:lineRule="auto"/>
        <w:ind w:left="351" w:hanging="193"/>
      </w:pPr>
      <w:r>
        <w:rPr>
          <w:rFonts w:ascii="Arial" w:hAnsi="Arial" w:cs="Arial" w:eastAsia="Arial"/>
          <w:color w:val="1B2733"/>
          <w:sz w:val="19"/>
        </w:rPr>
        <w:t>labour cost as percentage of sales;</w:t>
      </w:r>
    </w:p>
    <w:p>
      <w:pPr>
        <w:pStyle w:val="ListBullet"/>
        <w:spacing w:before="0" w:after="60" w:line="293" w:lineRule="auto"/>
        <w:ind w:left="351" w:hanging="193"/>
      </w:pPr>
      <w:r>
        <w:rPr>
          <w:rFonts w:ascii="Arial" w:hAnsi="Arial" w:cs="Arial" w:eastAsia="Arial"/>
          <w:color w:val="1B2733"/>
          <w:sz w:val="19"/>
        </w:rPr>
        <w:t>overtime cost;</w:t>
      </w:r>
    </w:p>
    <w:p>
      <w:pPr>
        <w:pStyle w:val="ListBullet"/>
        <w:spacing w:before="0" w:after="60" w:line="293" w:lineRule="auto"/>
        <w:ind w:left="351" w:hanging="193"/>
      </w:pPr>
      <w:r>
        <w:rPr>
          <w:rFonts w:ascii="Arial" w:hAnsi="Arial" w:cs="Arial" w:eastAsia="Arial"/>
          <w:color w:val="1B2733"/>
          <w:sz w:val="19"/>
        </w:rPr>
        <w:t>vacancy rate;</w:t>
      </w:r>
    </w:p>
    <w:p>
      <w:pPr>
        <w:pStyle w:val="ListBullet"/>
        <w:spacing w:before="0" w:after="60" w:line="293" w:lineRule="auto"/>
        <w:ind w:left="351" w:hanging="193"/>
      </w:pPr>
      <w:r>
        <w:rPr>
          <w:rFonts w:ascii="Arial" w:hAnsi="Arial" w:cs="Arial" w:eastAsia="Arial"/>
          <w:color w:val="1B2733"/>
          <w:sz w:val="19"/>
        </w:rPr>
        <w:t>average salary trend in absolute terms. Therefore human-capital improvement can be inferred only partially.</w:t>
      </w:r>
    </w:p>
    <w:p>
      <w:pPr>
        <w:pStyle w:val="Heading1"/>
        <w:keepNext/>
        <w:spacing w:before="280" w:after="60" w:line="252" w:lineRule="auto"/>
        <w:pBdr>
          <w:bottom w:val="single" w:sz="12" w:space="4" w:color="1F4E79"/>
        </w:pBdr>
      </w:pPr>
      <w:r>
        <w:rPr>
          <w:rFonts w:ascii="Arial" w:hAnsi="Arial" w:cs="Arial" w:eastAsia="Arial"/>
          <w:b/>
          <w:color w:val="1F4E79"/>
          <w:sz w:val="30"/>
        </w:rPr>
        <w:t>21. Positive Indicators</w:t>
      </w:r>
    </w:p>
    <w:p>
      <w:pPr>
        <w:spacing w:before="0" w:after="120" w:line="307" w:lineRule="auto"/>
      </w:pPr>
      <w:r>
        <w:rPr>
          <w:rFonts w:ascii="Arial" w:hAnsi="Arial" w:cs="Arial" w:eastAsia="Arial"/>
          <w:b w:val="0"/>
          <w:i w:val="0"/>
          <w:color w:val="1B2733"/>
          <w:sz w:val="19"/>
        </w:rPr>
        <w:t>The following indicators are supported by public evidence. A. Long operating history Founded in 1948 and still operating under the same corporate lineage. B. Completed succession A major succession took place in 2017, with the new president having entered the company three years earlier. Japan's Ministry of Economy, Trade and Industry (METI) C. Manufacturing depth The company retains integrated machining, grinding and heat-treatment capabilities. Aizu Industry Network Forum D. Workforce continuity 157 employees were reported as of June 2026. Matsumoto Precision E. International expansion Vietnam subsidiary established and operational. Matsumoto Precision F. Substantial announced investment ¥500 million Vietnam investment plan reported by Nikkan Kogyo. Nikkan Kogyo G. DX implementation ERP, product-level costing, process digitisation and product rationalisation. H. GX implementation Renewable-energy PPA, solar installations and product-level carbon accounting. Matsumoto Precision I. External recognition Tohoku DX Award, IT Japan Award and SAP Innovation Awards. Matsumoto Precision J. Continued strategic planning A new Matsumoto Precision 2030 plan began in FY2026, with DX, GX and factory automation as major pillars. Matsumoto Precision</w:t>
      </w:r>
    </w:p>
    <w:p>
      <w:pPr>
        <w:pStyle w:val="Heading1"/>
        <w:keepNext/>
        <w:spacing w:before="280" w:after="60" w:line="252" w:lineRule="auto"/>
        <w:pBdr>
          <w:bottom w:val="single" w:sz="12" w:space="4" w:color="1F4E79"/>
        </w:pBdr>
      </w:pPr>
      <w:r>
        <w:rPr>
          <w:rFonts w:ascii="Arial" w:hAnsi="Arial" w:cs="Arial" w:eastAsia="Arial"/>
          <w:b/>
          <w:color w:val="1F4E79"/>
          <w:sz w:val="30"/>
        </w:rPr>
        <w:t>22. Risk Indicators</w:t>
      </w:r>
    </w:p>
    <w:p>
      <w:pPr>
        <w:spacing w:before="0" w:after="120" w:line="307" w:lineRule="auto"/>
      </w:pPr>
      <w:r>
        <w:rPr>
          <w:rFonts w:ascii="Arial" w:hAnsi="Arial" w:cs="Arial" w:eastAsia="Arial"/>
          <w:b w:val="0"/>
          <w:i w:val="0"/>
          <w:color w:val="1B2733"/>
          <w:sz w:val="19"/>
        </w:rPr>
        <w:t>The following risks are also supported by evidence. A. Limited financial transparency Current net income, debt, cash and operating margin cannot be reconstructed from public sources. B. Disaster exposure Flood and fire occurred in 2022. C. Geographic concentration The main Japanese manufacturing base remains concentrated in Fukushima. D. Succession concentration The current governance structure remains closely associated with the Matsumoto family and one principal successor. E. Labour-market exposure The company itself identifies local labour availability as a strategic issue. F. Vietnam execution risk The company announced a ¥500 million expansion programme, but public evidence does not establish the full actual investment or completion of the planned second stage. G. Intra-group dependency The Vietnamese operation is closely connected to the Japanese parent through management and commercial relationships. H. Sector exposure Automotive, pneumatic-control and industrial-equipment demand remain important. The public record does not provide current revenue-by-sector percentages.</w:t>
      </w:r>
    </w:p>
    <w:p>
      <w:pPr>
        <w:pStyle w:val="Heading1"/>
        <w:keepNext/>
        <w:spacing w:before="280" w:after="60" w:line="252" w:lineRule="auto"/>
        <w:pBdr>
          <w:bottom w:val="single" w:sz="12" w:space="4" w:color="1F4E79"/>
        </w:pBdr>
      </w:pPr>
      <w:r>
        <w:rPr>
          <w:rFonts w:ascii="Arial" w:hAnsi="Arial" w:cs="Arial" w:eastAsia="Arial"/>
          <w:b/>
          <w:color w:val="1F4E79"/>
          <w:sz w:val="30"/>
        </w:rPr>
        <w:t>23. Evidence Matrix</w:t>
      </w:r>
    </w:p>
    <w:p>
      <w:pPr>
        <w:spacing w:before="0" w:after="120" w:line="307" w:lineRule="auto"/>
      </w:pPr>
      <w:r>
        <w:rPr>
          <w:rFonts w:ascii="Arial" w:hAnsi="Arial" w:cs="Arial" w:eastAsia="Arial"/>
          <w:b w:val="0"/>
          <w:i w:val="0"/>
          <w:color w:val="1B2733"/>
          <w:sz w:val="19"/>
        </w:rPr>
        <w:t>Question Assessment Evidence strength Is the legal entity active? Yes High Is the company still operating manufacturing facilities? Yes High Current capital ¥70m High Current employees 157 High Current revenue ~¥1.8bn FY2024 Medium Current net profit Not publicly established Low / unavailable Current debt Not publicly established Low / unavailable Current cash position Not publicly established Low / unavailable Current ownership Not fully established Low Family succession Confirmed High Vietnam operation Confirmed High Vietnam investment plan ¥500m announced High Actual ¥500m spent Not established Low Production diversification Confirmed Medium-High DX implementation Confirmed High DX financial effect Reported, not independently audited Medium Flood/fire Confirmed High Financial damage from disaster Unknown Low / unavailable Bankruptcy signal None identified Medium Major public legal enforcement None identified Medium Customer diversification Qualitatively confirmed Medium Customer concentration percentages Unknown Low</w:t>
      </w:r>
    </w:p>
    <w:p>
      <w:pPr>
        <w:pStyle w:val="Heading1"/>
        <w:keepNext/>
        <w:spacing w:before="280" w:after="60" w:line="252" w:lineRule="auto"/>
        <w:pBdr>
          <w:bottom w:val="single" w:sz="12" w:space="4" w:color="1F4E79"/>
        </w:pBdr>
      </w:pPr>
      <w:r>
        <w:rPr>
          <w:rFonts w:ascii="Arial" w:hAnsi="Arial" w:cs="Arial" w:eastAsia="Arial"/>
          <w:b/>
          <w:color w:val="1F4E79"/>
          <w:sz w:val="30"/>
        </w:rPr>
        <w:t>24. What the Public Record Can Actually</w:t>
      </w:r>
    </w:p>
    <w:p>
      <w:pPr>
        <w:pStyle w:val="Heading1"/>
        <w:keepNext/>
        <w:spacing w:before="280" w:after="60" w:line="252" w:lineRule="auto"/>
        <w:pBdr>
          <w:bottom w:val="single" w:sz="12" w:space="4" w:color="1F4E79"/>
        </w:pBdr>
      </w:pPr>
      <w:r>
        <w:rPr>
          <w:rFonts w:ascii="Arial" w:hAnsi="Arial" w:cs="Arial" w:eastAsia="Arial"/>
          <w:b/>
          <w:color w:val="1F4E79"/>
          <w:sz w:val="30"/>
        </w:rPr>
        <w:t>Establish</w:t>
      </w:r>
    </w:p>
    <w:p>
      <w:pPr>
        <w:spacing w:before="0" w:after="120" w:line="307" w:lineRule="auto"/>
      </w:pPr>
      <w:r>
        <w:rPr>
          <w:rFonts w:ascii="Arial" w:hAnsi="Arial" w:cs="Arial" w:eastAsia="Arial"/>
          <w:b w:val="0"/>
          <w:i w:val="0"/>
          <w:color w:val="1B2733"/>
          <w:sz w:val="19"/>
        </w:rPr>
        <w:t>The available evidence supports several relatively strong conclusions.</w:t>
      </w:r>
    </w:p>
    <w:p>
      <w:pPr>
        <w:pStyle w:val="Heading2"/>
        <w:keepNext/>
        <w:spacing w:before="220" w:after="60" w:line="252" w:lineRule="auto"/>
      </w:pPr>
      <w:r>
        <w:rPr>
          <w:rFonts w:ascii="Arial" w:hAnsi="Arial" w:cs="Arial" w:eastAsia="Arial"/>
          <w:b/>
          <w:color w:val="1B2733"/>
          <w:sz w:val="22"/>
        </w:rPr>
        <w:t>1. The company is operationally active.</w:t>
      </w:r>
    </w:p>
    <w:p>
      <w:pPr>
        <w:spacing w:before="0" w:after="120" w:line="307" w:lineRule="auto"/>
      </w:pPr>
      <w:r>
        <w:rPr>
          <w:rFonts w:ascii="Arial" w:hAnsi="Arial" w:cs="Arial" w:eastAsia="Arial"/>
          <w:b w:val="0"/>
          <w:i w:val="0"/>
          <w:color w:val="1B2733"/>
          <w:sz w:val="19"/>
        </w:rPr>
        <w:t>There is substantial evidence of a functioning Japanese manufacturing operation, a sizeable workforce, integrated production facilities and a continuing overseas manufacturing operation. Matsumoto Precision</w:t>
      </w:r>
    </w:p>
    <w:p>
      <w:pPr>
        <w:pStyle w:val="Heading2"/>
        <w:keepNext/>
        <w:spacing w:before="220" w:after="60" w:line="252" w:lineRule="auto"/>
      </w:pPr>
      <w:r>
        <w:rPr>
          <w:rFonts w:ascii="Arial" w:hAnsi="Arial" w:cs="Arial" w:eastAsia="Arial"/>
          <w:b/>
          <w:color w:val="1B2733"/>
          <w:sz w:val="22"/>
        </w:rPr>
        <w:t>2. The company has demonstrated willingness to invest.</w:t>
      </w:r>
    </w:p>
    <w:p>
      <w:pPr>
        <w:spacing w:before="0" w:after="120" w:line="307" w:lineRule="auto"/>
      </w:pPr>
      <w:r>
        <w:rPr>
          <w:rFonts w:ascii="Arial" w:hAnsi="Arial" w:cs="Arial" w:eastAsia="Arial"/>
          <w:b w:val="0"/>
          <w:i w:val="0"/>
          <w:color w:val="1B2733"/>
          <w:sz w:val="19"/>
        </w:rPr>
        <w:t>The Vietnam expansion, domestic equipment base, ERP implementation, renewable-energy infrastructure and subsequent DX/GX initiatives all require capital and organisational commitment. The ¥500 million Vietnam figure should nevertheless be treated as an announced investment plan, not verified actual expenditure . Nikkan Kogyo</w:t>
      </w:r>
    </w:p>
    <w:p>
      <w:pPr>
        <w:pStyle w:val="Heading2"/>
        <w:keepNext/>
        <w:spacing w:before="220" w:after="60" w:line="252" w:lineRule="auto"/>
      </w:pPr>
      <w:r>
        <w:rPr>
          <w:rFonts w:ascii="Arial" w:hAnsi="Arial" w:cs="Arial" w:eastAsia="Arial"/>
          <w:b/>
          <w:color w:val="1B2733"/>
          <w:sz w:val="22"/>
        </w:rPr>
        <w:t>3. The company has undergone material organisational transformation.</w:t>
      </w:r>
    </w:p>
    <w:p>
      <w:pPr>
        <w:spacing w:before="0" w:after="120" w:line="307" w:lineRule="auto"/>
      </w:pPr>
      <w:r>
        <w:rPr>
          <w:rFonts w:ascii="Arial" w:hAnsi="Arial" w:cs="Arial" w:eastAsia="Arial"/>
          <w:b w:val="0"/>
          <w:i w:val="0"/>
          <w:color w:val="1B2733"/>
          <w:sz w:val="19"/>
        </w:rPr>
        <w:t>The 2017 succession was followed by ERP implementation, product rationalisation, DX, GX and overseas expansion. Matsumoto Precision</w:t>
      </w:r>
    </w:p>
    <w:p>
      <w:pPr>
        <w:pStyle w:val="Heading2"/>
        <w:keepNext/>
        <w:spacing w:before="220" w:after="60" w:line="252" w:lineRule="auto"/>
      </w:pPr>
      <w:r>
        <w:rPr>
          <w:rFonts w:ascii="Arial" w:hAnsi="Arial" w:cs="Arial" w:eastAsia="Arial"/>
          <w:b/>
          <w:color w:val="1B2733"/>
          <w:sz w:val="22"/>
        </w:rPr>
        <w:t>4. The company has experienced operational adversity.</w:t>
      </w:r>
    </w:p>
    <w:p>
      <w:pPr>
        <w:spacing w:before="0" w:after="120" w:line="307" w:lineRule="auto"/>
      </w:pPr>
      <w:r>
        <w:rPr>
          <w:rFonts w:ascii="Arial" w:hAnsi="Arial" w:cs="Arial" w:eastAsia="Arial"/>
          <w:b w:val="0"/>
          <w:i w:val="0"/>
          <w:color w:val="1B2733"/>
          <w:sz w:val="19"/>
        </w:rPr>
        <w:t>The 2022 flood and fire are confirmed. The subsequent BCP response indicates organisational learning, but the financial consequences remain unknown.</w:t>
      </w:r>
    </w:p>
    <w:p>
      <w:pPr>
        <w:pStyle w:val="Heading2"/>
        <w:keepNext/>
        <w:spacing w:before="220" w:after="60" w:line="252" w:lineRule="auto"/>
      </w:pPr>
      <w:r>
        <w:rPr>
          <w:rFonts w:ascii="Arial" w:hAnsi="Arial" w:cs="Arial" w:eastAsia="Arial"/>
          <w:b/>
          <w:color w:val="1B2733"/>
          <w:sz w:val="22"/>
        </w:rPr>
        <w:t>5. The company has continued to pursue growth after the 2022</w:t>
      </w:r>
    </w:p>
    <w:p>
      <w:pPr>
        <w:spacing w:before="0" w:after="120" w:line="307" w:lineRule="auto"/>
      </w:pPr>
      <w:r>
        <w:rPr>
          <w:rFonts w:ascii="Arial" w:hAnsi="Arial" w:cs="Arial" w:eastAsia="Arial"/>
          <w:b w:val="0"/>
          <w:i w:val="0"/>
          <w:color w:val="1B2733"/>
          <w:sz w:val="19"/>
        </w:rPr>
        <w:t>disruption. Vietnam operations continued, DX/GX projects expanded and the company subsequently moved into a new 2026-2030 strategic plan. Matsumoto Precision</w:t>
      </w:r>
    </w:p>
    <w:p>
      <w:pPr>
        <w:pStyle w:val="Heading1"/>
        <w:keepNext/>
        <w:spacing w:before="280" w:after="60" w:line="252" w:lineRule="auto"/>
        <w:pBdr>
          <w:bottom w:val="single" w:sz="12" w:space="4" w:color="1F4E79"/>
        </w:pBdr>
      </w:pPr>
      <w:r>
        <w:rPr>
          <w:rFonts w:ascii="Arial" w:hAnsi="Arial" w:cs="Arial" w:eastAsia="Arial"/>
          <w:b/>
          <w:color w:val="1F4E79"/>
          <w:sz w:val="30"/>
        </w:rPr>
        <w:t>25. What Cannot Be Established</w:t>
      </w:r>
    </w:p>
    <w:p>
      <w:pPr>
        <w:spacing w:before="0" w:after="120" w:line="307" w:lineRule="auto"/>
      </w:pPr>
      <w:r>
        <w:rPr>
          <w:rFonts w:ascii="Arial" w:hAnsi="Arial" w:cs="Arial" w:eastAsia="Arial"/>
          <w:b w:val="0"/>
          <w:i w:val="0"/>
          <w:color w:val="1B2733"/>
          <w:sz w:val="19"/>
        </w:rPr>
        <w:t>This is the most important section from a due-diligence perspective. Public sources reviewed do not allow us to determine with sufficient confidence: Financial</w:t>
      </w:r>
    </w:p>
    <w:p>
      <w:pPr>
        <w:pStyle w:val="ListBullet"/>
        <w:spacing w:before="0" w:after="60" w:line="293" w:lineRule="auto"/>
        <w:ind w:left="351" w:hanging="193"/>
      </w:pPr>
      <w:r>
        <w:rPr>
          <w:rFonts w:ascii="Arial" w:hAnsi="Arial" w:cs="Arial" w:eastAsia="Arial"/>
          <w:color w:val="1B2733"/>
          <w:sz w:val="19"/>
        </w:rPr>
        <w:t>current net income;</w:t>
      </w:r>
    </w:p>
    <w:p>
      <w:pPr>
        <w:pStyle w:val="ListBullet"/>
        <w:spacing w:before="0" w:after="60" w:line="293" w:lineRule="auto"/>
        <w:ind w:left="351" w:hanging="193"/>
      </w:pPr>
      <w:r>
        <w:rPr>
          <w:rFonts w:ascii="Arial" w:hAnsi="Arial" w:cs="Arial" w:eastAsia="Arial"/>
          <w:color w:val="1B2733"/>
          <w:sz w:val="19"/>
        </w:rPr>
        <w:t>EBITDA;</w:t>
      </w:r>
    </w:p>
    <w:p>
      <w:pPr>
        <w:pStyle w:val="ListBullet"/>
        <w:spacing w:before="0" w:after="60" w:line="293" w:lineRule="auto"/>
        <w:ind w:left="351" w:hanging="193"/>
      </w:pPr>
      <w:r>
        <w:rPr>
          <w:rFonts w:ascii="Arial" w:hAnsi="Arial" w:cs="Arial" w:eastAsia="Arial"/>
          <w:color w:val="1B2733"/>
          <w:sz w:val="19"/>
        </w:rPr>
        <w:t>operating margin;</w:t>
      </w:r>
    </w:p>
    <w:p>
      <w:pPr>
        <w:pStyle w:val="ListBullet"/>
        <w:spacing w:before="0" w:after="60" w:line="293" w:lineRule="auto"/>
        <w:ind w:left="351" w:hanging="193"/>
      </w:pPr>
      <w:r>
        <w:rPr>
          <w:rFonts w:ascii="Arial" w:hAnsi="Arial" w:cs="Arial" w:eastAsia="Arial"/>
          <w:color w:val="1B2733"/>
          <w:sz w:val="19"/>
        </w:rPr>
        <w:t>free cash flow;</w:t>
      </w:r>
    </w:p>
    <w:p>
      <w:pPr>
        <w:pStyle w:val="ListBullet"/>
        <w:spacing w:before="0" w:after="60" w:line="293" w:lineRule="auto"/>
        <w:ind w:left="351" w:hanging="193"/>
      </w:pPr>
      <w:r>
        <w:rPr>
          <w:rFonts w:ascii="Arial" w:hAnsi="Arial" w:cs="Arial" w:eastAsia="Arial"/>
          <w:color w:val="1B2733"/>
          <w:sz w:val="19"/>
        </w:rPr>
        <w:t>cash balance;</w:t>
      </w:r>
    </w:p>
    <w:p>
      <w:pPr>
        <w:pStyle w:val="ListBullet"/>
        <w:spacing w:before="0" w:after="60" w:line="293" w:lineRule="auto"/>
        <w:ind w:left="351" w:hanging="193"/>
      </w:pPr>
      <w:r>
        <w:rPr>
          <w:rFonts w:ascii="Arial" w:hAnsi="Arial" w:cs="Arial" w:eastAsia="Arial"/>
          <w:color w:val="1B2733"/>
          <w:sz w:val="19"/>
        </w:rPr>
        <w:t>total debt;</w:t>
      </w:r>
    </w:p>
    <w:p>
      <w:pPr>
        <w:pStyle w:val="ListBullet"/>
        <w:spacing w:before="0" w:after="60" w:line="293" w:lineRule="auto"/>
        <w:ind w:left="351" w:hanging="193"/>
      </w:pPr>
      <w:r>
        <w:rPr>
          <w:rFonts w:ascii="Arial" w:hAnsi="Arial" w:cs="Arial" w:eastAsia="Arial"/>
          <w:color w:val="1B2733"/>
          <w:sz w:val="19"/>
        </w:rPr>
        <w:t>net debt;</w:t>
      </w:r>
    </w:p>
    <w:p>
      <w:pPr>
        <w:pStyle w:val="ListBullet"/>
        <w:spacing w:before="0" w:after="60" w:line="293" w:lineRule="auto"/>
        <w:ind w:left="351" w:hanging="193"/>
      </w:pPr>
      <w:r>
        <w:rPr>
          <w:rFonts w:ascii="Arial" w:hAnsi="Arial" w:cs="Arial" w:eastAsia="Arial"/>
          <w:color w:val="1B2733"/>
          <w:sz w:val="19"/>
        </w:rPr>
        <w:t>debt maturity;</w:t>
      </w:r>
    </w:p>
    <w:p>
      <w:pPr>
        <w:pStyle w:val="ListBullet"/>
        <w:spacing w:before="0" w:after="60" w:line="293" w:lineRule="auto"/>
        <w:ind w:left="351" w:hanging="193"/>
      </w:pPr>
      <w:r>
        <w:rPr>
          <w:rFonts w:ascii="Arial" w:hAnsi="Arial" w:cs="Arial" w:eastAsia="Arial"/>
          <w:color w:val="1B2733"/>
          <w:sz w:val="19"/>
        </w:rPr>
        <w:t>interest expense;</w:t>
      </w:r>
    </w:p>
    <w:p>
      <w:pPr>
        <w:pStyle w:val="ListBullet"/>
        <w:spacing w:before="0" w:after="60" w:line="293" w:lineRule="auto"/>
        <w:ind w:left="351" w:hanging="193"/>
      </w:pPr>
      <w:r>
        <w:rPr>
          <w:rFonts w:ascii="Arial" w:hAnsi="Arial" w:cs="Arial" w:eastAsia="Arial"/>
          <w:color w:val="1B2733"/>
          <w:sz w:val="19"/>
        </w:rPr>
        <w:t>working-capital position;</w:t>
      </w:r>
    </w:p>
    <w:p>
      <w:pPr>
        <w:pStyle w:val="ListBullet"/>
        <w:spacing w:before="0" w:after="60" w:line="293" w:lineRule="auto"/>
        <w:ind w:left="351" w:hanging="193"/>
      </w:pPr>
      <w:r>
        <w:rPr>
          <w:rFonts w:ascii="Arial" w:hAnsi="Arial" w:cs="Arial" w:eastAsia="Arial"/>
          <w:color w:val="1B2733"/>
          <w:sz w:val="19"/>
        </w:rPr>
        <w:t>current ratio;</w:t>
      </w:r>
    </w:p>
    <w:p>
      <w:pPr>
        <w:pStyle w:val="ListBullet"/>
        <w:spacing w:before="0" w:after="60" w:line="293" w:lineRule="auto"/>
        <w:ind w:left="351" w:hanging="193"/>
      </w:pPr>
      <w:r>
        <w:rPr>
          <w:rFonts w:ascii="Arial" w:hAnsi="Arial" w:cs="Arial" w:eastAsia="Arial"/>
          <w:color w:val="1B2733"/>
          <w:sz w:val="19"/>
        </w:rPr>
        <w:t>exact capex;</w:t>
      </w:r>
    </w:p>
    <w:p>
      <w:pPr>
        <w:pStyle w:val="ListBullet"/>
        <w:spacing w:before="0" w:after="60" w:line="293" w:lineRule="auto"/>
        <w:ind w:left="351" w:hanging="193"/>
      </w:pPr>
      <w:r>
        <w:rPr>
          <w:rFonts w:ascii="Arial" w:hAnsi="Arial" w:cs="Arial" w:eastAsia="Arial"/>
          <w:color w:val="1B2733"/>
          <w:sz w:val="19"/>
        </w:rPr>
        <w:t>ROIC. Ownership</w:t>
      </w:r>
    </w:p>
    <w:p>
      <w:pPr>
        <w:pStyle w:val="ListBullet"/>
        <w:spacing w:before="0" w:after="60" w:line="293" w:lineRule="auto"/>
        <w:ind w:left="351" w:hanging="193"/>
      </w:pPr>
      <w:r>
        <w:rPr>
          <w:rFonts w:ascii="Arial" w:hAnsi="Arial" w:cs="Arial" w:eastAsia="Arial"/>
          <w:color w:val="1B2733"/>
          <w:sz w:val="19"/>
        </w:rPr>
        <w:t>current shareholder percentages;</w:t>
      </w:r>
    </w:p>
    <w:p>
      <w:pPr>
        <w:pStyle w:val="ListBullet"/>
        <w:spacing w:before="0" w:after="60" w:line="293" w:lineRule="auto"/>
        <w:ind w:left="351" w:hanging="193"/>
      </w:pPr>
      <w:r>
        <w:rPr>
          <w:rFonts w:ascii="Arial" w:hAnsi="Arial" w:cs="Arial" w:eastAsia="Arial"/>
          <w:color w:val="1B2733"/>
          <w:sz w:val="19"/>
        </w:rPr>
        <w:t>beneficial ownership;</w:t>
      </w:r>
    </w:p>
    <w:p>
      <w:pPr>
        <w:pStyle w:val="ListBullet"/>
        <w:spacing w:before="0" w:after="60" w:line="293" w:lineRule="auto"/>
        <w:ind w:left="351" w:hanging="193"/>
      </w:pPr>
      <w:r>
        <w:rPr>
          <w:rFonts w:ascii="Arial" w:hAnsi="Arial" w:cs="Arial" w:eastAsia="Arial"/>
          <w:color w:val="1B2733"/>
          <w:sz w:val="19"/>
        </w:rPr>
        <w:t>current JUKI stake, if any;</w:t>
      </w:r>
    </w:p>
    <w:p>
      <w:pPr>
        <w:pStyle w:val="ListBullet"/>
        <w:spacing w:before="0" w:after="60" w:line="293" w:lineRule="auto"/>
        <w:ind w:left="351" w:hanging="193"/>
      </w:pPr>
      <w:r>
        <w:rPr>
          <w:rFonts w:ascii="Arial" w:hAnsi="Arial" w:cs="Arial" w:eastAsia="Arial"/>
          <w:color w:val="1B2733"/>
          <w:sz w:val="19"/>
        </w:rPr>
        <w:t>current SBIC stake;</w:t>
      </w:r>
    </w:p>
    <w:p>
      <w:pPr>
        <w:pStyle w:val="ListBullet"/>
        <w:spacing w:before="0" w:after="60" w:line="293" w:lineRule="auto"/>
        <w:ind w:left="351" w:hanging="193"/>
      </w:pPr>
      <w:r>
        <w:rPr>
          <w:rFonts w:ascii="Arial" w:hAnsi="Arial" w:cs="Arial" w:eastAsia="Arial"/>
          <w:color w:val="1B2733"/>
          <w:sz w:val="19"/>
        </w:rPr>
        <w:t>family ownership percentages. Vietnam</w:t>
      </w:r>
    </w:p>
    <w:p>
      <w:pPr>
        <w:pStyle w:val="ListBullet"/>
        <w:spacing w:before="0" w:after="60" w:line="293" w:lineRule="auto"/>
        <w:ind w:left="351" w:hanging="193"/>
      </w:pPr>
      <w:r>
        <w:rPr>
          <w:rFonts w:ascii="Arial" w:hAnsi="Arial" w:cs="Arial" w:eastAsia="Arial"/>
          <w:color w:val="1B2733"/>
          <w:sz w:val="19"/>
        </w:rPr>
        <w:t>actual amount invested;</w:t>
      </w:r>
    </w:p>
    <w:p>
      <w:pPr>
        <w:pStyle w:val="ListBullet"/>
        <w:spacing w:before="0" w:after="60" w:line="293" w:lineRule="auto"/>
        <w:ind w:left="351" w:hanging="193"/>
      </w:pPr>
      <w:r>
        <w:rPr>
          <w:rFonts w:ascii="Arial" w:hAnsi="Arial" w:cs="Arial" w:eastAsia="Arial"/>
          <w:color w:val="1B2733"/>
          <w:sz w:val="19"/>
        </w:rPr>
        <w:t>funding source;</w:t>
      </w:r>
    </w:p>
    <w:p>
      <w:pPr>
        <w:pStyle w:val="ListBullet"/>
        <w:spacing w:before="0" w:after="60" w:line="293" w:lineRule="auto"/>
        <w:ind w:left="351" w:hanging="193"/>
      </w:pPr>
      <w:r>
        <w:rPr>
          <w:rFonts w:ascii="Arial" w:hAnsi="Arial" w:cs="Arial" w:eastAsia="Arial"/>
          <w:color w:val="1B2733"/>
          <w:sz w:val="19"/>
        </w:rPr>
        <w:t>profitability;</w:t>
      </w:r>
    </w:p>
    <w:p>
      <w:pPr>
        <w:pStyle w:val="ListBullet"/>
        <w:spacing w:before="0" w:after="60" w:line="293" w:lineRule="auto"/>
        <w:ind w:left="351" w:hanging="193"/>
      </w:pPr>
      <w:r>
        <w:rPr>
          <w:rFonts w:ascii="Arial" w:hAnsi="Arial" w:cs="Arial" w:eastAsia="Arial"/>
          <w:color w:val="1B2733"/>
          <w:sz w:val="19"/>
        </w:rPr>
        <w:t>utilisation rate;</w:t>
      </w:r>
    </w:p>
    <w:p>
      <w:pPr>
        <w:pStyle w:val="ListBullet"/>
        <w:spacing w:before="0" w:after="60" w:line="293" w:lineRule="auto"/>
        <w:ind w:left="351" w:hanging="193"/>
      </w:pPr>
      <w:r>
        <w:rPr>
          <w:rFonts w:ascii="Arial" w:hAnsi="Arial" w:cs="Arial" w:eastAsia="Arial"/>
          <w:color w:val="1B2733"/>
          <w:sz w:val="19"/>
        </w:rPr>
        <w:t>transfer-pricing structure;</w:t>
      </w:r>
    </w:p>
    <w:p>
      <w:pPr>
        <w:pStyle w:val="ListBullet"/>
        <w:spacing w:before="0" w:after="60" w:line="293" w:lineRule="auto"/>
        <w:ind w:left="351" w:hanging="193"/>
      </w:pPr>
      <w:r>
        <w:rPr>
          <w:rFonts w:ascii="Arial" w:hAnsi="Arial" w:cs="Arial" w:eastAsia="Arial"/>
          <w:color w:val="1B2733"/>
          <w:sz w:val="19"/>
        </w:rPr>
        <w:t>parent-subsidiary receivables/payables;</w:t>
      </w:r>
    </w:p>
    <w:p>
      <w:pPr>
        <w:pStyle w:val="ListBullet"/>
        <w:spacing w:before="0" w:after="60" w:line="293" w:lineRule="auto"/>
        <w:ind w:left="351" w:hanging="193"/>
      </w:pPr>
      <w:r>
        <w:rPr>
          <w:rFonts w:ascii="Arial" w:hAnsi="Arial" w:cs="Arial" w:eastAsia="Arial"/>
          <w:color w:val="1B2733"/>
          <w:sz w:val="19"/>
        </w:rPr>
        <w:t>actual completion of the planned second-stage factory. Legal</w:t>
      </w:r>
    </w:p>
    <w:p>
      <w:pPr>
        <w:pStyle w:val="ListBullet"/>
        <w:spacing w:before="0" w:after="60" w:line="293" w:lineRule="auto"/>
        <w:ind w:left="351" w:hanging="193"/>
      </w:pPr>
      <w:r>
        <w:rPr>
          <w:rFonts w:ascii="Arial" w:hAnsi="Arial" w:cs="Arial" w:eastAsia="Arial"/>
          <w:color w:val="1B2733"/>
          <w:sz w:val="19"/>
        </w:rPr>
        <w:t>complete civil litigation history;</w:t>
      </w:r>
    </w:p>
    <w:p>
      <w:pPr>
        <w:pStyle w:val="ListBullet"/>
        <w:spacing w:before="0" w:after="60" w:line="293" w:lineRule="auto"/>
        <w:ind w:left="351" w:hanging="193"/>
      </w:pPr>
      <w:r>
        <w:rPr>
          <w:rFonts w:ascii="Arial" w:hAnsi="Arial" w:cs="Arial" w:eastAsia="Arial"/>
          <w:color w:val="1B2733"/>
          <w:sz w:val="19"/>
        </w:rPr>
        <w:t>confidential settlements;</w:t>
      </w:r>
    </w:p>
    <w:p>
      <w:pPr>
        <w:pStyle w:val="ListBullet"/>
        <w:spacing w:before="0" w:after="60" w:line="293" w:lineRule="auto"/>
        <w:ind w:left="351" w:hanging="193"/>
      </w:pPr>
      <w:r>
        <w:rPr>
          <w:rFonts w:ascii="Arial" w:hAnsi="Arial" w:cs="Arial" w:eastAsia="Arial"/>
          <w:color w:val="1B2733"/>
          <w:sz w:val="19"/>
        </w:rPr>
        <w:t>employment disputes;</w:t>
      </w:r>
    </w:p>
    <w:p>
      <w:pPr>
        <w:pStyle w:val="ListBullet"/>
        <w:spacing w:before="0" w:after="60" w:line="293" w:lineRule="auto"/>
        <w:ind w:left="351" w:hanging="193"/>
      </w:pPr>
      <w:r>
        <w:rPr>
          <w:rFonts w:ascii="Arial" w:hAnsi="Arial" w:cs="Arial" w:eastAsia="Arial"/>
          <w:color w:val="1B2733"/>
          <w:sz w:val="19"/>
        </w:rPr>
        <w:t>tax disputes;</w:t>
      </w:r>
    </w:p>
    <w:p>
      <w:pPr>
        <w:pStyle w:val="ListBullet"/>
        <w:spacing w:before="0" w:after="60" w:line="293" w:lineRule="auto"/>
        <w:ind w:left="351" w:hanging="193"/>
      </w:pPr>
      <w:r>
        <w:rPr>
          <w:rFonts w:ascii="Arial" w:hAnsi="Arial" w:cs="Arial" w:eastAsia="Arial"/>
          <w:color w:val="1B2733"/>
          <w:sz w:val="19"/>
        </w:rPr>
        <w:t>all regulatory investigations. Therefore the public record is not sufficient for a full financial audit or investment-grade credit assessment .</w:t>
      </w:r>
    </w:p>
    <w:p>
      <w:pPr>
        <w:pStyle w:val="Heading1"/>
        <w:keepNext/>
        <w:spacing w:before="280" w:after="60" w:line="252" w:lineRule="auto"/>
        <w:pBdr>
          <w:bottom w:val="single" w:sz="12" w:space="4" w:color="1F4E79"/>
        </w:pBdr>
      </w:pPr>
      <w:r>
        <w:rPr>
          <w:rFonts w:ascii="Arial" w:hAnsi="Arial" w:cs="Arial" w:eastAsia="Arial"/>
          <w:b/>
          <w:color w:val="1F4E79"/>
          <w:sz w:val="30"/>
        </w:rPr>
        <w:t>26. Final Assessment</w:t>
      </w:r>
    </w:p>
    <w:p>
      <w:pPr>
        <w:spacing w:before="0" w:after="120" w:line="307" w:lineRule="auto"/>
      </w:pPr>
      <w:r>
        <w:rPr>
          <w:rFonts w:ascii="Arial" w:hAnsi="Arial" w:cs="Arial" w:eastAsia="Arial"/>
          <w:b w:val="0"/>
          <w:i w:val="0"/>
          <w:color w:val="1B2733"/>
          <w:sz w:val="19"/>
        </w:rPr>
        <w:t>The question was not whether Matsumoto Precision can simply be labelled a "financially healthy company." That conclusion cannot be supported from public information. A more defensible assessment is: Matsumoto Precision's publicly observable operating position appears substantially more assessable than its financial position. The available Japanese sources document a long-established manufacturing company with an active domestic production base, approximately 157 employees in 2026, integrated machining capabilities, a completed management succession, an operating Vietnamese subsidiary, substantial announced international investment, and several years of documented DX/GX investment. The company's ability to sustain and expand manufacturing operations is supported by observable actions rather than by financial statements alone: it has continued to invest in production capacity, established a second-country manufacturing operation, implemented ERP and product-level costing, rationalised its product portfolio, introduced renewable-energy infrastructure, and entered a new 2026-2030 strategic cycle. However, these operational indicators cannot substitute for financial statements. Current profitability, liquidity, leverage, debt capacity and free cash flow remain unverified. The ¥500 million Vietnam investment is a reported investment plan rather than independently verified actual expenditure. Likewise, reported improvements in productivity and profitability are management/implementation-partner figures rather than independently audited financial metrics. The principal observable risks are geographic concentration of the Japanese manufacturing base, labour availability, succession concentration, exposure to industrial-sector demand, execution risk associated with overseas expansion, and the financial consequences of the 2022 flood/fire incident. None of these findings, based on the reviewed public record, establishes financial distress. Accordingly, the strongest OSINT conclusion is not that Matsumoto Precision is demonstrably financially strong, but that there is substantial public evidence of continued manufacturing activity, organisational adaptation and investment capacity, while the core financial variables required to determine solvency and profitability remain unavailable. Bottom line Demonstrably known: operating company, long history, ¥70m capital, 157 employees, established manufacturing infrastructure, completed succession, Vietnam subsidiary, significant announced investment, continuing DX/GX, external recognition, ongoing strategic planning. Strongly indicated but not independently verified: operational/productivity improvement, improved profitability following DX, increased organisational efficiency, strategic capacity to expand. Not publicly established: current profit, debt, cash, liquidity, ownership percentages, actual Vietnam capex, financial impact of the 2022 disaster, and full litigation exposure. Therefore, public OSINT is sufficient to construct a credible operational and corporate-risk profile, but insufficient to make a definitive assessment of financial strength or solvency.</w:t>
      </w:r>
    </w:p>
    <w:p>
      <w:pPr>
        <w:pStyle w:val="Heading1"/>
        <w:keepNext/>
        <w:spacing w:before="280" w:after="60" w:line="252" w:lineRule="auto"/>
        <w:pBdr>
          <w:bottom w:val="single" w:sz="12" w:space="4" w:color="1F4E79"/>
        </w:pBdr>
      </w:pPr>
      <w:r>
        <w:rPr>
          <w:rFonts w:ascii="Arial" w:hAnsi="Arial" w:cs="Arial" w:eastAsia="Arial"/>
          <w:b/>
          <w:color w:val="1F4E79"/>
          <w:sz w:val="30"/>
        </w:rPr>
        <w:t>Primary sources and source hierarchy</w:t>
      </w:r>
    </w:p>
    <w:p>
      <w:pPr>
        <w:spacing w:before="0" w:after="120" w:line="307" w:lineRule="auto"/>
      </w:pPr>
      <w:r>
        <w:rPr>
          <w:rFonts w:ascii="Arial" w:hAnsi="Arial" w:cs="Arial" w:eastAsia="Arial"/>
          <w:b w:val="0"/>
          <w:i w:val="0"/>
          <w:color w:val="1B2733"/>
          <w:sz w:val="19"/>
        </w:rPr>
        <w:t>Tier 1 - Government / official</w:t>
      </w:r>
    </w:p>
    <w:p>
      <w:pPr>
        <w:pStyle w:val="ListBullet"/>
        <w:spacing w:before="0" w:after="60" w:line="293" w:lineRule="auto"/>
        <w:ind w:left="351" w:hanging="193"/>
      </w:pPr>
      <w:r>
        <w:rPr>
          <w:rFonts w:ascii="Arial" w:hAnsi="Arial" w:cs="Arial" w:eastAsia="Arial"/>
          <w:color w:val="1B2733"/>
          <w:sz w:val="19"/>
        </w:rPr>
        <w:t>Japan Ministry of Economy, Trade and Industry / SME Agency - 2025 White Paper case study on Matsumoto Precision. Japan's Ministry of Economy, Trade and Industry (METI)</w:t>
      </w:r>
    </w:p>
    <w:p>
      <w:pPr>
        <w:pStyle w:val="ListBullet"/>
        <w:spacing w:before="0" w:after="60" w:line="293" w:lineRule="auto"/>
        <w:ind w:left="351" w:hanging="193"/>
      </w:pPr>
      <w:r>
        <w:rPr>
          <w:rFonts w:ascii="Arial" w:hAnsi="Arial" w:cs="Arial" w:eastAsia="Arial"/>
          <w:color w:val="1B2733"/>
          <w:sz w:val="19"/>
        </w:rPr>
        <w:t>Japan gBizINFO - corporate identification and legal-entity information. Gビズインフォ( METI )経済産業省</w:t>
      </w:r>
    </w:p>
    <w:p>
      <w:pPr>
        <w:pStyle w:val="ListBullet"/>
        <w:spacing w:before="0" w:after="60" w:line="293" w:lineRule="auto"/>
        <w:ind w:left="351" w:hanging="193"/>
      </w:pPr>
      <w:r>
        <w:rPr>
          <w:rFonts w:ascii="Arial" w:hAnsi="Arial" w:cs="Arial" w:eastAsia="Arial"/>
          <w:color w:val="1B2733"/>
          <w:sz w:val="19"/>
        </w:rPr>
        <w:t>Fukushima Prefecture / regional industrial materials.</w:t>
      </w:r>
    </w:p>
    <w:p>
      <w:pPr>
        <w:pStyle w:val="ListBullet"/>
        <w:spacing w:before="0" w:after="60" w:line="293" w:lineRule="auto"/>
        <w:ind w:left="351" w:hanging="193"/>
      </w:pPr>
      <w:r>
        <w:rPr>
          <w:rFonts w:ascii="Arial" w:hAnsi="Arial" w:cs="Arial" w:eastAsia="Arial"/>
          <w:color w:val="1B2733"/>
          <w:sz w:val="19"/>
        </w:rPr>
        <w:t>SBIC - investment framework and investee-company information. SBIC Tier 1 - Company primary sources</w:t>
      </w:r>
    </w:p>
    <w:p>
      <w:pPr>
        <w:pStyle w:val="ListBullet"/>
        <w:spacing w:before="0" w:after="60" w:line="293" w:lineRule="auto"/>
        <w:ind w:left="351" w:hanging="193"/>
      </w:pPr>
      <w:r>
        <w:rPr>
          <w:rFonts w:ascii="Arial" w:hAnsi="Arial" w:cs="Arial" w:eastAsia="Arial"/>
          <w:color w:val="1B2733"/>
          <w:sz w:val="19"/>
        </w:rPr>
        <w:t>Matsumoto Precision corporate profile. Matsumoto Precision</w:t>
      </w:r>
    </w:p>
    <w:p>
      <w:pPr>
        <w:pStyle w:val="ListBullet"/>
        <w:spacing w:before="0" w:after="60" w:line="293" w:lineRule="auto"/>
        <w:ind w:left="351" w:hanging="193"/>
      </w:pPr>
      <w:r>
        <w:rPr>
          <w:rFonts w:ascii="Arial" w:hAnsi="Arial" w:cs="Arial" w:eastAsia="Arial"/>
          <w:color w:val="1B2733"/>
          <w:sz w:val="19"/>
        </w:rPr>
        <w:t>Corporate history. Matsumoto Precision</w:t>
      </w:r>
    </w:p>
    <w:p>
      <w:pPr>
        <w:pStyle w:val="ListBullet"/>
        <w:spacing w:before="0" w:after="60" w:line="293" w:lineRule="auto"/>
        <w:ind w:left="351" w:hanging="193"/>
      </w:pPr>
      <w:r>
        <w:rPr>
          <w:rFonts w:ascii="Arial" w:hAnsi="Arial" w:cs="Arial" w:eastAsia="Arial"/>
          <w:color w:val="1B2733"/>
          <w:sz w:val="19"/>
        </w:rPr>
        <w:t>Overseas subsidiary information. Matsumoto Precision</w:t>
      </w:r>
    </w:p>
    <w:p>
      <w:pPr>
        <w:pStyle w:val="ListBullet"/>
        <w:spacing w:before="0" w:after="60" w:line="293" w:lineRule="auto"/>
        <w:ind w:left="351" w:hanging="193"/>
      </w:pPr>
      <w:r>
        <w:rPr>
          <w:rFonts w:ascii="Arial" w:hAnsi="Arial" w:cs="Arial" w:eastAsia="Arial"/>
          <w:color w:val="1B2733"/>
          <w:sz w:val="19"/>
        </w:rPr>
        <w:t>Current management/strategy. Matsumoto Precision Tier 2 - Industry / institutional</w:t>
      </w:r>
    </w:p>
    <w:p>
      <w:pPr>
        <w:pStyle w:val="ListBullet"/>
        <w:spacing w:before="0" w:after="60" w:line="293" w:lineRule="auto"/>
        <w:ind w:left="351" w:hanging="193"/>
      </w:pPr>
      <w:r>
        <w:rPr>
          <w:rFonts w:ascii="Arial" w:hAnsi="Arial" w:cs="Arial" w:eastAsia="Arial"/>
          <w:color w:val="1B2733"/>
          <w:sz w:val="19"/>
        </w:rPr>
        <w:t>Aizu Industry Network Forum. Aizu Industry Network Forum</w:t>
      </w:r>
    </w:p>
    <w:p>
      <w:pPr>
        <w:pStyle w:val="ListBullet"/>
        <w:spacing w:before="0" w:after="60" w:line="293" w:lineRule="auto"/>
        <w:ind w:left="351" w:hanging="193"/>
      </w:pPr>
      <w:r>
        <w:rPr>
          <w:rFonts w:ascii="Arial" w:hAnsi="Arial" w:cs="Arial" w:eastAsia="Arial"/>
          <w:color w:val="1B2733"/>
          <w:sz w:val="19"/>
        </w:rPr>
        <w:t>SAP Japan case studies. SAP News Center Tier 2 - Specialist business media</w:t>
      </w:r>
    </w:p>
    <w:p>
      <w:pPr>
        <w:pStyle w:val="ListBullet"/>
        <w:spacing w:before="0" w:after="60" w:line="293" w:lineRule="auto"/>
        <w:ind w:left="351" w:hanging="193"/>
      </w:pPr>
      <w:r>
        <w:rPr>
          <w:rFonts w:ascii="Arial" w:hAnsi="Arial" w:cs="Arial" w:eastAsia="Arial"/>
          <w:color w:val="1B2733"/>
          <w:sz w:val="19"/>
        </w:rPr>
        <w:t>Nikkan Kogyo Shimbun - Vietnam investment announcement. Nikkan Kogyo Research limitation This is an OSINT-based corporate/financial due-diligence assessment, not an audit, credit opinion or legal opinion . The central limitation is structural: Matsumoto Precision is a private SME, so the public Japanese information environment provides significantly better</w:t>
      </w:r>
    </w:p>
    <w:p>
      <w:pPr>
        <w:spacing w:before="0" w:after="120" w:line="307" w:lineRule="auto"/>
      </w:pPr>
      <w:r>
        <w:rPr>
          <w:rFonts w:ascii="Arial" w:hAnsi="Arial" w:cs="Arial" w:eastAsia="Arial"/>
          <w:b w:val="0"/>
          <w:i w:val="0"/>
          <w:color w:val="1B2733"/>
          <w:sz w:val="19"/>
        </w:rPr>
        <w:t>visibility into management actions, manufacturing assets and strategic initiatives than into balance-sheet and cash-flow conditions.</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Matsumoto Precision — Corporate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