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spacing w:before="40" w:after="160"/>
        <w:pBdr>
          <w:bottom w:val="single" w:sz="18" w:space="1" w:color="1F4E79"/>
        </w:pBdr>
      </w:pPr>
    </w:p>
    <w:p>
      <w:pPr>
        <w:spacing w:before="0" w:after="280" w:line="264" w:lineRule="auto"/>
      </w:pPr>
      <w:r>
        <w:rPr>
          <w:rFonts w:ascii="Arial" w:hAnsi="Arial" w:cs="Arial" w:eastAsia="Arial"/>
          <w:b/>
          <w:i w:val="0"/>
          <w:color w:val="1F4E79"/>
          <w:sz w:val="18"/>
        </w:rPr>
        <w:t>OSINT &amp; CORPORATE INTELLIGENCE RESEARCHER</w:t>
      </w:r>
    </w:p>
    <w:p>
      <w:pPr>
        <w:spacing w:before="0" w:after="80" w:line="245" w:lineRule="auto"/>
      </w:pPr>
      <w:r>
        <w:rPr>
          <w:rFonts w:ascii="Arial" w:hAnsi="Arial" w:cs="Arial" w:eastAsia="Arial"/>
          <w:b/>
          <w:i w:val="0"/>
          <w:color w:val="1B2733"/>
          <w:sz w:val="54"/>
        </w:rPr>
        <w:t>NIKITA PUDOVKIN</w:t>
      </w:r>
    </w:p>
    <w:p>
      <w:pPr>
        <w:spacing w:before="0" w:after="160" w:line="254" w:lineRule="auto"/>
      </w:pPr>
      <w:r>
        <w:rPr>
          <w:rFonts w:ascii="Arial" w:hAnsi="Arial" w:cs="Arial" w:eastAsia="Arial"/>
          <w:b w:val="0"/>
          <w:i w:val="0"/>
          <w:color w:val="1F4E79"/>
          <w:sz w:val="34"/>
        </w:rPr>
        <w:t>Remote / International · Open to Relocation</w:t>
      </w:r>
    </w:p>
    <w:p>
      <w:pPr>
        <w:spacing w:before="0" w:after="320" w:line="264" w:lineRule="auto"/>
      </w:pPr>
      <w:r>
        <w:rPr>
          <w:rFonts w:ascii="Arial" w:hAnsi="Arial" w:cs="Arial" w:eastAsia="Arial"/>
          <w:b w:val="0"/>
          <w:i w:val="0"/>
          <w:color w:val="555F6B"/>
          <w:sz w:val="22"/>
        </w:rPr>
      </w:r>
    </w:p>
    <w:p>
      <w:pPr>
        <w:spacing w:before="40" w:after="160"/>
        <w:pBdr>
          <w:bottom w:val="single" w:sz="18" w:space="1" w:color="1F4E79"/>
        </w:pBdr>
      </w:pPr>
    </w:p>
    <w:p>
      <w:pPr>
        <w:spacing w:before="0" w:after="20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32"/>
        <w:gridCol w:w="7066"/>
      </w:tblGrid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color w:val="1F4E79"/>
                <w:sz w:val="17"/>
              </w:rPr>
              <w:t>Email</w:t>
            </w:r>
          </w:p>
        </w:tc>
        <w:tc>
          <w:tcPr>
            <w:tcW w:type="dxa" w:w="7066"/>
          </w:tcPr>
          <w:p>
            <w:r>
              <w:t>dobaboda85@gmail.com</w:t>
            </w:r>
          </w:p>
        </w:tc>
      </w:tr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color w:val="1F4E79"/>
                <w:sz w:val="17"/>
              </w:rPr>
              <w:t>LinkedIn</w:t>
            </w:r>
          </w:p>
        </w:tc>
        <w:tc>
          <w:tcPr>
            <w:tcW w:type="dxa" w:w="7066"/>
          </w:tcPr>
          <w:p>
            <w:r>
              <w:t>www.linkedin.com/in/nikita-pudovkin-0a46823b2</w:t>
            </w:r>
          </w:p>
        </w:tc>
      </w:tr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color w:val="1F4E79"/>
                <w:sz w:val="17"/>
              </w:rPr>
              <w:t>Portfolio</w:t>
            </w:r>
          </w:p>
        </w:tc>
        <w:tc>
          <w:tcPr>
            <w:tcW w:type="dxa" w:w="7066"/>
          </w:tcPr>
          <w:p>
            <w:r>
              <w:t>https://github.com/NikitakWork</w:t>
            </w:r>
          </w:p>
        </w:tc>
      </w:tr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color w:val="1F4E79"/>
                <w:sz w:val="17"/>
              </w:rPr>
              <w:t>GitHub</w:t>
            </w:r>
          </w:p>
        </w:tc>
        <w:tc>
          <w:tcPr>
            <w:tcW w:type="dxa" w:w="7066"/>
          </w:tcPr>
          <w:p>
            <w:r>
              <w:t>https://github.com/NikitakWork</w:t>
            </w:r>
          </w:p>
        </w:tc>
      </w:tr>
    </w:tbl>
    <w:p>
      <w:pPr>
        <w:spacing w:before="0" w:after="28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spacing w:before="0" w:after="16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spacing w:before="0" w:after="0" w:line="312" w:lineRule="auto"/>
      </w:pPr>
      <w:r>
        <w:t>Contact details verified and completed.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Professional Summary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OSINT and Corporate Intelligence researcher specializing in open-source investigations of companies, industrial markets, supply chains, procurement networks, technologies and corporate relationships. Experienced in reconstructing business relationships from corporate, regulatory, procurement, technical, patent, media and geospatial sources, with a particular focus on Japanese companies and Japanese-language sources. Builds evidence-based research workflows, cross-checks information across independent sources, identifies contradictions and clearly separates confirmed findings from analytical inference and unresolved questions. Produces structured analytical reports in English and works with Japanese-source material through translation-assisted research workflows.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Core Expertise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Intelligence &amp; Investigations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Open-Source Intelligence (OSINT)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Corporate Due Diligence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Corporate &amp; Entity Research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Competitive Intelligence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Supplier &amp; Customer Intelligence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Procurement Intelligence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Supply-Chain Reconstruction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Technical Intelligence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Corporate Relationship Mapping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Adverse Media &amp; Public-Record Research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Research &amp; Analysis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Japanese-Source Research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Corporate Registry Research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Patent &amp; IP Research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GEOINT / IMINT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Entity Resolution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Timeline Reconstruction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Source Verification &amp; Triangulation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Evidence Assessment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Contradiction Testing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Analytical Reporting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Selected Intelligence &amp; Research Projects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JSC Penztyazhpromarmatura (PTPA) — Corporate Due Diligence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Reconstructed the historical and current corporate control structure of a Russian pipeline-valve manufacturer from issuer disclosure, registry, certification and court records.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Established a documented historical control block and separately assessed what current ownership could and could not be shown to be.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Traced a 2025 divestment through an intermediate holding company and assessed the acquisition-vehicle hypothesis at stated confidence.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NPO Elektromashina — Customer &amp; Procurement Intelligence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Reconstructed a Russian industrial customer network from public procurement records, corporate sources and specialist industry information.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Linked products and technical characteristics to identified downstream applications and counterparties.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TOO Taraz Prommontazh — Entity Resolution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Resolved a cluster of apparently related Kazakh entities and individuals through registration identifiers, management chronology and address evidence.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Separated a strongly corroborated historical/business relationship from a formal legal succession that the evidence does not establish.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Documented negative findings, including a shared address that does not imply common ownership.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AMANA — Supply-Chain Ecosystem Reconstruction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Reconstructed a Vietnam-based industrial supply chain from manufacturing facility through industrial-park and port infrastructure to the international customer interface.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Worked under a strict official-and-first-party source restriction and marked shipment-level elements as unverified rather than inferred.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Fujii Mold — Corporate &amp; GEOINT Investigation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Reconstructed corporate, facility, technical and ownership information using Japanese corporate, industrial and geospatial sources.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Combined documentary and geospatial evidence to assess the identity and characteristics of the investigated industrial facility.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Distinguished directly verified information from analytical inference and documented unresolved evidence gaps.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Yukigaya Chemical — Supply-Chain Traceability Investigation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Reconstructed a multi-stage industrial supply chain across Japanese and Thai entities using corporate, procurement, industry and specialist sources.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Investigated relationships between manufacturing, processing and downstream procurement entities while testing alternative explanations where direct supplier evidence was unavailable.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Applied source triangulation and explicit uncertainty assessment to establish the limits of public-source supply-chain traceability.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Fukushima Seisakusho — Customer &amp; Procurement Intelligence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Investigated downstream customers and procurement relationships of a Japanese industrial manufacturer using public procurement records, corporate sources and specialist industry information.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Reconstructed links between products, applications, customers and maintenance relationships, including identified procurement records and transaction values.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Distinguished technical dependency from legal exclusivity and explicitly documented relationships that could not be independently confirmed.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Matsuo Electric — Certification &amp; Regulatory Intelligence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Examined the scope and applicability of industrial certifications using Japanese certification and corporate sources.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Compared documented certification scope with facility, product and organizational information to identify potential scope mismatches.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Produced an evidence-based assessment separating confirmed certification facts from conclusions that could not be established from public records.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Kimura &amp; Co. — Competitive &amp; Technical Intelligence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Identified Japanese manufacturers competing within a narrowly defined industrial component segment rather than treating broad industry overlap as evidence of competition.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Compared technologies, products, applications and manufacturing capabilities using Japanese technical and corporate sources.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Mapped specific technologies and product capabilities to relevant competitive relationships.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Ōmaki Seiki × NK — Corporate &amp; Supplier Transaction Investigation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Reconstructed a business succession and supplier relationship between two Japanese industrial companies using corporate, executive, transaction and media sources.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Traced the transfer of business activities, personnel, assets and customer relationships and assessed the industrial rationale for the transaction.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Tested quantitative and strategic claims against available evidence and separated documented transaction facts from unsupported commercial assumptions.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Additional Research Projects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Matsumoto Precision — Financial &amp; Corporate Due Diligence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Financial indicators, corporate structure, subsidiaries, investment activity, workforce development and limitations of public financial disclosure.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Yanbaru Shuzo — Regional Business Model Intelligence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Analysis of a small Japanese manufacturer’s regional market expansion, direct-to-consumer strategy and public business-development evidence.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Mori Manufacturing — Entity Resolution &amp; Negative Intelligence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Entity identification, corporate-record reconciliation and assessment of information that could not be independently verified.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German Corporate Registry Micro-Case — Corporate Relationship Intelligence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Reconstruction of a documented relationship between a German company, its managing director and another German entity using German corporate registry sources.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Research Methodology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Question formulation → Entity identification → Source discovery → Primary-source retrieval → Cross-source verification → Relationship reconstruction → Contradiction testing → Uncertainty assessment → Analytical reporting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Research approach emphasizes: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Primary and official sources where available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Independent source triangulation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Explicit distinction between fact, inference and hypothesis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Documentation of negative findings and information gaps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Reproducible source trails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Clear separation of verified relationships from plausible but unconfirmed connections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Technical Skills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Programming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Python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C#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JavaScript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Go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OSINT / Research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Advanced web research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Public-record research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Corporate and registry research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Data extraction and processing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Entity resolution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Research automation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AI-assisted research workflows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GEOINT / IMINT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Satellite imagery analysis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Geospatial investigation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Facility identification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Image-based verification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Geolocation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cs="Arial" w:eastAsia="Arial"/>
          <w:b/>
          <w:color w:val="1B2733"/>
          <w:sz w:val="22"/>
        </w:rPr>
        <w:t>AI / Local Research Infrastructure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Local LLM workflows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AI-assisted OSINT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Information extraction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Research workflow automation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Prompt and system design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Model-assisted analytical workflows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Independent Intelligence Research</w:t>
      </w:r>
    </w:p>
    <w:p>
      <w:pPr>
        <w:keepNext/>
        <w:spacing w:before="160" w:after="80" w:line="264" w:lineRule="auto"/>
      </w:pPr>
      <w:r>
        <w:rPr>
          <w:rFonts w:ascii="Arial" w:hAnsi="Arial" w:cs="Arial" w:eastAsia="Arial"/>
          <w:b/>
          <w:i w:val="0"/>
          <w:color w:val="1F4E79"/>
          <w:sz w:val="15"/>
        </w:rPr>
        <w:t>Table 1. Independent research practice.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437"/>
        <w:gridCol w:w="2861"/>
      </w:tblGrid>
      <w:tr>
        <w:trPr>
          <w:tblHeader/>
        </w:trPr>
        <w:tc>
          <w:tcPr>
            <w:tcW w:type="dxa" w:w="6437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61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6437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Independent Researcher</w:t>
            </w:r>
          </w:p>
        </w:tc>
        <w:tc>
          <w:tcPr>
            <w:tcW w:type="dxa" w:w="2861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2021–Present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Conduct independent open-source investigations involving companies, individuals, industrial facilities, technologies, supply chains and corporate relationships.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Develop research workflows combining multilingual web research, corporate records, technical documentation, satellite imagery, structured data and AI-assisted analysis.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Produce structured analytical reports with source attribution, evidence classification, uncertainty assessment, contradiction analysis and documented research limitations.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Work across English-, Russian- and Japanese-language source environments, including specialist Japanese corporate and industrial sources.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Programming &amp; Technical Background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Self-directed technical development in multiple programming languages and research technologies, including Python, C#, JavaScript and Go. Experience using programming and local AI systems as research multipliers for information processing, automation, structured analysis and OSINT workflows.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Languages</w:t>
      </w:r>
    </w:p>
    <w:p>
      <w:pPr>
        <w:keepNext/>
        <w:spacing w:before="160" w:after="80" w:line="264" w:lineRule="auto"/>
      </w:pPr>
      <w:r>
        <w:rPr>
          <w:rFonts w:ascii="Arial" w:hAnsi="Arial" w:cs="Arial" w:eastAsia="Arial"/>
          <w:b/>
          <w:i w:val="0"/>
          <w:color w:val="1F4E79"/>
          <w:sz w:val="15"/>
        </w:rPr>
        <w:t>Table 2. Working language proficiency.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26"/>
        <w:gridCol w:w="6872"/>
      </w:tblGrid>
      <w:tr>
        <w:trPr>
          <w:tblHeader/>
        </w:trPr>
        <w:tc>
          <w:tcPr>
            <w:tcW w:type="dxa" w:w="2426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Language</w:t>
            </w:r>
          </w:p>
        </w:tc>
        <w:tc>
          <w:tcPr>
            <w:tcW w:type="dxa" w:w="6872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Level</w:t>
            </w:r>
          </w:p>
        </w:tc>
      </w:tr>
      <w:tr>
        <w:tc>
          <w:tcPr>
            <w:tcW w:type="dxa" w:w="2426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Russian</w:t>
            </w:r>
          </w:p>
        </w:tc>
        <w:tc>
          <w:tcPr>
            <w:tcW w:type="dxa" w:w="6872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Native</w:t>
            </w:r>
          </w:p>
        </w:tc>
      </w:tr>
      <w:tr>
        <w:tc>
          <w:tcPr>
            <w:tcW w:type="dxa" w:w="2426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English</w:t>
            </w:r>
          </w:p>
        </w:tc>
        <w:tc>
          <w:tcPr>
            <w:tcW w:type="dxa" w:w="6872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Native-level / Full Professional Proficiency</w:t>
            </w:r>
          </w:p>
        </w:tc>
      </w:tr>
      <w:tr>
        <w:tc>
          <w:tcPr>
            <w:tcW w:type="dxa" w:w="2426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Japanese</w:t>
            </w:r>
          </w:p>
        </w:tc>
        <w:tc>
          <w:tcPr>
            <w:tcW w:type="dxa" w:w="6872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Japanese-source research; translation-assisted written communication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Education &amp; Professional Development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Vocational Education — Penza, Russia</w:t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Independent professional development in: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Open-Source Intelligence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GEOINT / IMINT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Corporate Intelligence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Due Diligence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Japanese Corporate &amp; Industrial Research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Programming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Technical Research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cs="Arial" w:eastAsia="Arial"/>
          <w:color w:val="1B2733"/>
          <w:sz w:val="19"/>
        </w:rPr>
        <w:t>AI-Assisted Research</w:t>
      </w:r>
    </w:p>
    <w:p>
      <w:pPr>
        <w:pStyle w:val="Heading1"/>
        <w:keepNext/>
        <w:spacing w:before="280" w:after="60" w:line="252" w:lineRule="auto"/>
        <w:pBdr>
          <w:bottom w:val="single" w:sz="12" w:space="4" w:color="1F4E79"/>
        </w:pBdr>
      </w:pPr>
      <w:r>
        <w:rPr>
          <w:rFonts w:ascii="Arial" w:hAnsi="Arial" w:cs="Arial" w:eastAsia="Arial"/>
          <w:b/>
          <w:color w:val="1F4E79"/>
          <w:sz w:val="30"/>
        </w:rPr>
        <w:t>Availability &amp; Mobility</w:t>
      </w:r>
    </w:p>
    <w:p>
      <w:pPr>
        <w:keepNext/>
        <w:spacing w:before="160" w:after="80" w:line="264" w:lineRule="auto"/>
      </w:pPr>
      <w:r>
        <w:rPr>
          <w:rFonts w:ascii="Arial" w:hAnsi="Arial" w:cs="Arial" w:eastAsia="Arial"/>
          <w:b/>
          <w:i w:val="0"/>
          <w:color w:val="1F4E79"/>
          <w:sz w:val="15"/>
        </w:rPr>
        <w:t>Table 3. Engagement terms.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26"/>
        <w:gridCol w:w="6872"/>
      </w:tblGrid>
      <w:tr>
        <w:trPr>
          <w:tblHeader/>
        </w:trPr>
        <w:tc>
          <w:tcPr>
            <w:tcW w:type="dxa" w:w="2426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6872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26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Availability</w:t>
            </w:r>
          </w:p>
        </w:tc>
        <w:tc>
          <w:tcPr>
            <w:tcW w:type="dxa" w:w="6872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Full-time, contract or freelance</w:t>
            </w:r>
          </w:p>
        </w:tc>
      </w:tr>
      <w:tr>
        <w:tc>
          <w:tcPr>
            <w:tcW w:type="dxa" w:w="2426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Work mode</w:t>
            </w:r>
          </w:p>
        </w:tc>
        <w:tc>
          <w:tcPr>
            <w:tcW w:type="dxa" w:w="6872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Remote / International</w:t>
            </w:r>
          </w:p>
        </w:tc>
      </w:tr>
      <w:tr>
        <w:tc>
          <w:tcPr>
            <w:tcW w:type="dxa" w:w="2426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Time zones</w:t>
            </w:r>
          </w:p>
        </w:tc>
        <w:tc>
          <w:tcPr>
            <w:tcW w:type="dxa" w:w="6872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Flexible</w:t>
            </w:r>
          </w:p>
        </w:tc>
      </w:tr>
      <w:tr>
        <w:tc>
          <w:tcPr>
            <w:tcW w:type="dxa" w:w="2426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/>
                <w:color w:val="1B2733"/>
                <w:sz w:val="18"/>
              </w:rPr>
              <w:t>Relocation</w:t>
            </w:r>
          </w:p>
        </w:tc>
        <w:tc>
          <w:tcPr>
            <w:tcW w:type="dxa" w:w="6872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 w:cs="Arial" w:eastAsia="Arial"/>
                <w:b w:val="0"/>
                <w:color w:val="2B333B"/>
                <w:sz w:val="18"/>
              </w:rPr>
              <w:t>Open to relocation to Japan and other countries for suitable employment opportunities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</w:r>
    </w:p>
    <w:p>
      <w:pPr>
        <w:spacing w:before="0" w:after="120" w:line="307" w:lineRule="auto"/>
      </w:pPr>
      <w:r>
        <w:rPr>
          <w:rFonts w:ascii="Arial" w:hAnsi="Arial" w:cs="Arial" w:eastAsia="Arial"/>
          <w:b w:val="0"/>
          <w:i w:val="0"/>
          <w:color w:val="1B2733"/>
          <w:sz w:val="19"/>
        </w:rPr>
        <w:t>Internationally mobile and willing to relocate to the employer’s country subject to applicable visa and work-authorization requirements.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34" w:left="1304" w:header="680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F6B"/>
        <w:sz w:val="15"/>
      </w:rPr>
      <w:t xml:space="preserve">Page </w:t>
    </w:r>
    <w:r>
      <w:rPr>
        <w:rFonts w:ascii="Arial" w:hAnsi="Arial"/>
        <w:color w:val="555F6B"/>
        <w:sz w:val="15"/>
      </w:rPr>
      <w:fldChar w:fldCharType="begin"/>
      <w:instrText xml:space="preserve"> PAGE </w:instrText>
      <w:fldChar w:fldCharType="separate"/>
      <w:fldChar w:fldCharType="end"/>
    </w:r>
    <w:r>
      <w:rPr>
        <w:rFonts w:ascii="Arial" w:hAnsi="Arial"/>
        <w:color w:val="555F6B"/>
        <w:sz w:val="15"/>
      </w:rPr>
      <w:t xml:space="preserve"> of </w:t>
    </w:r>
    <w:r>
      <w:rPr>
        <w:rFonts w:ascii="Arial" w:hAnsi="Arial"/>
        <w:color w:val="555F6B"/>
        <w:sz w:val="15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C7CDD4"/>
      </w:pBdr>
    </w:pPr>
    <w:r>
      <w:rPr>
        <w:rFonts w:ascii="Arial" w:hAnsi="Arial"/>
        <w:color w:val="555F6B"/>
        <w:sz w:val="15"/>
      </w:rPr>
      <w:t>Nikita Pudovkin — CV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Arial" w:hAnsi="Arial" w:eastAsia="Arial"/>
      <w:color w:val="1B27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1B27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1F4E7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